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A7AAD" w:rsidRPr="000D1A16" w:rsidRDefault="008C74B9" w:rsidP="00EA7AAD">
      <w:pPr>
        <w:rPr>
          <w:rFonts w:ascii="Arial" w:hAnsi="Arial" w:cs="Arial"/>
          <w:b/>
          <w:bCs/>
          <w:sz w:val="20"/>
          <w:szCs w:val="20"/>
          <w:lang w:eastAsia="es-EC"/>
        </w:rPr>
      </w:pPr>
      <w:r w:rsidRPr="000D1A16">
        <w:rPr>
          <w:rFonts w:ascii="Arial" w:hAnsi="Arial" w:cs="Arial"/>
          <w:b/>
          <w:bCs/>
          <w:sz w:val="20"/>
          <w:szCs w:val="20"/>
          <w:lang w:eastAsia="es-EC"/>
        </w:rPr>
        <w:t xml:space="preserve">Al </w:t>
      </w:r>
      <w:r w:rsidR="002E284F" w:rsidRPr="000D1A16">
        <w:rPr>
          <w:rFonts w:ascii="Arial" w:hAnsi="Arial" w:cs="Arial"/>
          <w:b/>
          <w:bCs/>
          <w:sz w:val="20"/>
          <w:szCs w:val="20"/>
          <w:lang w:eastAsia="es-EC"/>
        </w:rPr>
        <w:t>31</w:t>
      </w:r>
      <w:r w:rsidR="00164FB0" w:rsidRPr="000D1A16">
        <w:rPr>
          <w:rFonts w:ascii="Arial" w:hAnsi="Arial" w:cs="Arial"/>
          <w:b/>
          <w:bCs/>
          <w:sz w:val="20"/>
          <w:szCs w:val="20"/>
          <w:lang w:eastAsia="es-EC"/>
        </w:rPr>
        <w:t xml:space="preserve"> de </w:t>
      </w:r>
      <w:r w:rsidR="00B84B52" w:rsidRPr="000D1A16">
        <w:rPr>
          <w:rFonts w:ascii="Arial" w:hAnsi="Arial" w:cs="Arial"/>
          <w:b/>
          <w:bCs/>
          <w:sz w:val="20"/>
          <w:szCs w:val="20"/>
          <w:lang w:eastAsia="es-EC"/>
        </w:rPr>
        <w:t>diciem</w:t>
      </w:r>
      <w:r w:rsidR="002E284F" w:rsidRPr="000D1A16">
        <w:rPr>
          <w:rFonts w:ascii="Arial" w:hAnsi="Arial" w:cs="Arial"/>
          <w:b/>
          <w:bCs/>
          <w:sz w:val="20"/>
          <w:szCs w:val="20"/>
          <w:lang w:eastAsia="es-EC"/>
        </w:rPr>
        <w:t>b</w:t>
      </w:r>
      <w:r w:rsidR="00B84B52" w:rsidRPr="000D1A16">
        <w:rPr>
          <w:rFonts w:ascii="Arial" w:hAnsi="Arial" w:cs="Arial"/>
          <w:b/>
          <w:bCs/>
          <w:sz w:val="20"/>
          <w:szCs w:val="20"/>
          <w:lang w:eastAsia="es-EC"/>
        </w:rPr>
        <w:t>r</w:t>
      </w:r>
      <w:r w:rsidR="002E284F" w:rsidRPr="000D1A16">
        <w:rPr>
          <w:rFonts w:ascii="Arial" w:hAnsi="Arial" w:cs="Arial"/>
          <w:b/>
          <w:bCs/>
          <w:sz w:val="20"/>
          <w:szCs w:val="20"/>
          <w:lang w:eastAsia="es-EC"/>
        </w:rPr>
        <w:t>e</w:t>
      </w:r>
      <w:r w:rsidR="00164FB0" w:rsidRPr="000D1A16">
        <w:rPr>
          <w:rFonts w:ascii="Arial" w:hAnsi="Arial" w:cs="Arial"/>
          <w:b/>
          <w:bCs/>
          <w:sz w:val="20"/>
          <w:szCs w:val="20"/>
          <w:lang w:eastAsia="es-EC"/>
        </w:rPr>
        <w:t xml:space="preserve"> de</w:t>
      </w:r>
      <w:r w:rsidR="002E284F" w:rsidRPr="000D1A16">
        <w:rPr>
          <w:rFonts w:ascii="Arial" w:hAnsi="Arial" w:cs="Arial"/>
          <w:b/>
          <w:bCs/>
          <w:sz w:val="20"/>
          <w:szCs w:val="20"/>
          <w:lang w:eastAsia="es-EC"/>
        </w:rPr>
        <w:t>l</w:t>
      </w:r>
      <w:r w:rsidR="00E47673">
        <w:rPr>
          <w:rFonts w:ascii="Arial" w:hAnsi="Arial" w:cs="Arial"/>
          <w:b/>
          <w:bCs/>
          <w:sz w:val="20"/>
          <w:szCs w:val="20"/>
          <w:lang w:eastAsia="es-EC"/>
        </w:rPr>
        <w:t xml:space="preserve"> 2021</w:t>
      </w:r>
      <w:r w:rsidR="00081F0B" w:rsidRPr="000D1A16">
        <w:rPr>
          <w:rFonts w:ascii="Arial" w:hAnsi="Arial" w:cs="Arial"/>
          <w:b/>
          <w:bCs/>
          <w:sz w:val="20"/>
          <w:szCs w:val="20"/>
          <w:lang w:eastAsia="es-EC"/>
        </w:rPr>
        <w:t>,</w:t>
      </w:r>
      <w:r w:rsidR="00164FB0" w:rsidRPr="000D1A16">
        <w:rPr>
          <w:rFonts w:ascii="Arial" w:hAnsi="Arial" w:cs="Arial"/>
          <w:b/>
          <w:bCs/>
          <w:sz w:val="20"/>
          <w:szCs w:val="20"/>
          <w:lang w:eastAsia="es-EC"/>
        </w:rPr>
        <w:t xml:space="preserve"> con cifras comparativas de</w:t>
      </w:r>
      <w:r w:rsidR="002E284F" w:rsidRPr="000D1A16">
        <w:rPr>
          <w:rFonts w:ascii="Arial" w:hAnsi="Arial" w:cs="Arial"/>
          <w:b/>
          <w:bCs/>
          <w:sz w:val="20"/>
          <w:szCs w:val="20"/>
          <w:lang w:eastAsia="es-EC"/>
        </w:rPr>
        <w:t xml:space="preserve">l año </w:t>
      </w:r>
      <w:r w:rsidR="00E47673">
        <w:rPr>
          <w:rFonts w:ascii="Arial" w:hAnsi="Arial" w:cs="Arial"/>
          <w:b/>
          <w:bCs/>
          <w:sz w:val="20"/>
          <w:szCs w:val="20"/>
          <w:lang w:eastAsia="es-EC"/>
        </w:rPr>
        <w:t>2020</w:t>
      </w:r>
    </w:p>
    <w:p w:rsidR="00E9662A" w:rsidRPr="000D1A16" w:rsidRDefault="00E9662A" w:rsidP="00E9662A">
      <w:pPr>
        <w:pBdr>
          <w:bottom w:val="single" w:sz="4" w:space="1" w:color="auto"/>
        </w:pBdr>
        <w:jc w:val="both"/>
        <w:rPr>
          <w:rFonts w:ascii="Arial" w:hAnsi="Arial" w:cs="Arial"/>
          <w:b/>
          <w:bCs/>
          <w:sz w:val="20"/>
          <w:szCs w:val="20"/>
        </w:rPr>
      </w:pPr>
    </w:p>
    <w:p w:rsidR="00E9662A" w:rsidRPr="000D1A16" w:rsidRDefault="00E9662A" w:rsidP="00E9662A">
      <w:pPr>
        <w:pBdr>
          <w:bottom w:val="single" w:sz="4" w:space="1" w:color="auto"/>
        </w:pBdr>
        <w:jc w:val="both"/>
        <w:rPr>
          <w:rFonts w:ascii="Arial" w:hAnsi="Arial" w:cs="Arial"/>
          <w:b/>
          <w:bCs/>
          <w:sz w:val="20"/>
          <w:szCs w:val="20"/>
        </w:rPr>
      </w:pPr>
      <w:r w:rsidRPr="000D1A16">
        <w:rPr>
          <w:rFonts w:ascii="Arial" w:hAnsi="Arial" w:cs="Arial"/>
          <w:b/>
          <w:bCs/>
          <w:sz w:val="20"/>
          <w:szCs w:val="20"/>
        </w:rPr>
        <w:t>En Dólares de los Estados Unidos de América</w:t>
      </w:r>
    </w:p>
    <w:p w:rsidR="00E9662A" w:rsidRPr="000D1A16" w:rsidRDefault="00E9662A" w:rsidP="00E9662A">
      <w:pPr>
        <w:jc w:val="both"/>
        <w:rPr>
          <w:rFonts w:ascii="Arial" w:hAnsi="Arial" w:cs="Arial"/>
          <w:b/>
          <w:bCs/>
          <w:sz w:val="20"/>
          <w:szCs w:val="20"/>
          <w:u w:val="single"/>
        </w:rPr>
      </w:pPr>
    </w:p>
    <w:p w:rsidR="00395DBA" w:rsidRPr="000D1A16" w:rsidRDefault="00395DBA" w:rsidP="008D7017">
      <w:pPr>
        <w:pStyle w:val="Ttulo1"/>
        <w:rPr>
          <w:rFonts w:ascii="Arial" w:hAnsi="Arial" w:cs="Arial"/>
          <w:sz w:val="20"/>
        </w:rPr>
      </w:pPr>
      <w:r w:rsidRPr="000D1A16">
        <w:rPr>
          <w:rFonts w:ascii="Arial" w:hAnsi="Arial" w:cs="Arial"/>
          <w:sz w:val="20"/>
        </w:rPr>
        <w:t>NOTA 1 – OPERACIONES Y ENTORNO ECON</w:t>
      </w:r>
      <w:r w:rsidRPr="000D1A16">
        <w:rPr>
          <w:rFonts w:ascii="Arial" w:hAnsi="Arial" w:cs="Arial"/>
          <w:sz w:val="20"/>
          <w:lang w:val="es-EC"/>
        </w:rPr>
        <w:t>Ó</w:t>
      </w:r>
      <w:r w:rsidRPr="000D1A16">
        <w:rPr>
          <w:rFonts w:ascii="Arial" w:hAnsi="Arial" w:cs="Arial"/>
          <w:sz w:val="20"/>
        </w:rPr>
        <w:t>MICO</w:t>
      </w:r>
    </w:p>
    <w:p w:rsidR="00395DBA" w:rsidRPr="000D1A16" w:rsidRDefault="00395DBA" w:rsidP="008D7017">
      <w:pPr>
        <w:tabs>
          <w:tab w:val="left" w:pos="-720"/>
        </w:tabs>
        <w:suppressAutoHyphens/>
        <w:jc w:val="both"/>
        <w:rPr>
          <w:rFonts w:ascii="Arial" w:hAnsi="Arial" w:cs="Arial"/>
          <w:spacing w:val="-3"/>
          <w:sz w:val="20"/>
          <w:szCs w:val="20"/>
        </w:rPr>
      </w:pPr>
    </w:p>
    <w:p w:rsidR="00395DBA" w:rsidRPr="000D1A16" w:rsidRDefault="00395DBA" w:rsidP="008D7017">
      <w:pPr>
        <w:tabs>
          <w:tab w:val="left" w:pos="-720"/>
        </w:tabs>
        <w:suppressAutoHyphens/>
        <w:jc w:val="both"/>
        <w:rPr>
          <w:rFonts w:ascii="Arial" w:hAnsi="Arial" w:cs="Arial"/>
          <w:b/>
          <w:spacing w:val="-3"/>
          <w:sz w:val="20"/>
          <w:szCs w:val="20"/>
          <w:u w:val="single"/>
        </w:rPr>
      </w:pPr>
      <w:r w:rsidRPr="000D1A16">
        <w:rPr>
          <w:rFonts w:ascii="Arial" w:hAnsi="Arial" w:cs="Arial"/>
          <w:b/>
          <w:spacing w:val="-3"/>
          <w:sz w:val="20"/>
          <w:szCs w:val="20"/>
          <w:u w:val="single"/>
        </w:rPr>
        <w:t>Objeto social</w:t>
      </w:r>
    </w:p>
    <w:p w:rsidR="00395DBA" w:rsidRPr="000D1A16" w:rsidRDefault="00395DBA" w:rsidP="008D7017">
      <w:pPr>
        <w:tabs>
          <w:tab w:val="left" w:pos="-720"/>
        </w:tabs>
        <w:suppressAutoHyphens/>
        <w:jc w:val="both"/>
        <w:rPr>
          <w:rFonts w:ascii="Arial" w:eastAsia="Arial" w:hAnsi="Arial" w:cs="Arial"/>
          <w:sz w:val="20"/>
          <w:szCs w:val="20"/>
          <w:lang w:val="es-EC" w:eastAsia="en-US"/>
        </w:rPr>
      </w:pPr>
    </w:p>
    <w:p w:rsidR="006A669A" w:rsidRPr="000D1A16" w:rsidRDefault="00CB1444" w:rsidP="006A669A">
      <w:pPr>
        <w:numPr>
          <w:ilvl w:val="12"/>
          <w:numId w:val="0"/>
        </w:numPr>
        <w:ind w:right="18"/>
        <w:jc w:val="both"/>
        <w:rPr>
          <w:rFonts w:ascii="Arial" w:hAnsi="Arial" w:cs="Arial"/>
          <w:sz w:val="20"/>
          <w:szCs w:val="20"/>
        </w:rPr>
      </w:pPr>
      <w:r>
        <w:rPr>
          <w:rFonts w:ascii="Arial" w:hAnsi="Arial" w:cs="Arial"/>
          <w:sz w:val="20"/>
          <w:szCs w:val="20"/>
        </w:rPr>
        <w:t>Medel S.A.</w:t>
      </w:r>
      <w:r w:rsidR="006A669A" w:rsidRPr="000D1A16">
        <w:rPr>
          <w:rFonts w:ascii="Arial" w:hAnsi="Arial" w:cs="Arial"/>
          <w:sz w:val="20"/>
          <w:szCs w:val="20"/>
        </w:rPr>
        <w:t xml:space="preserve"> es una sociedad anónima inscrita ante la Superintendencia de Compañías, Valores y Seguros, se constituye y empieza su</w:t>
      </w:r>
      <w:r w:rsidR="00AD2854">
        <w:rPr>
          <w:rFonts w:ascii="Arial" w:hAnsi="Arial" w:cs="Arial"/>
          <w:sz w:val="20"/>
          <w:szCs w:val="20"/>
        </w:rPr>
        <w:t>s actividades el 30</w:t>
      </w:r>
      <w:r w:rsidR="005447F5">
        <w:rPr>
          <w:rFonts w:ascii="Arial" w:hAnsi="Arial" w:cs="Arial"/>
          <w:sz w:val="20"/>
          <w:szCs w:val="20"/>
        </w:rPr>
        <w:t xml:space="preserve"> de </w:t>
      </w:r>
      <w:r w:rsidR="00AD2854">
        <w:rPr>
          <w:rFonts w:ascii="Arial" w:hAnsi="Arial" w:cs="Arial"/>
          <w:sz w:val="20"/>
          <w:szCs w:val="20"/>
        </w:rPr>
        <w:t>octu</w:t>
      </w:r>
      <w:r w:rsidR="005447F5">
        <w:rPr>
          <w:rFonts w:ascii="Arial" w:hAnsi="Arial" w:cs="Arial"/>
          <w:sz w:val="20"/>
          <w:szCs w:val="20"/>
        </w:rPr>
        <w:t>bre</w:t>
      </w:r>
      <w:r w:rsidR="0077470F">
        <w:rPr>
          <w:rFonts w:ascii="Arial" w:hAnsi="Arial" w:cs="Arial"/>
          <w:sz w:val="20"/>
          <w:szCs w:val="20"/>
        </w:rPr>
        <w:t xml:space="preserve"> de </w:t>
      </w:r>
      <w:r w:rsidR="000831B3">
        <w:rPr>
          <w:rFonts w:ascii="Arial" w:hAnsi="Arial" w:cs="Arial"/>
          <w:sz w:val="20"/>
          <w:szCs w:val="20"/>
        </w:rPr>
        <w:t>200</w:t>
      </w:r>
      <w:r w:rsidR="0077470F">
        <w:rPr>
          <w:rFonts w:ascii="Arial" w:hAnsi="Arial" w:cs="Arial"/>
          <w:sz w:val="20"/>
          <w:szCs w:val="20"/>
        </w:rPr>
        <w:t>1</w:t>
      </w:r>
      <w:r w:rsidR="006A669A" w:rsidRPr="000D1A16">
        <w:rPr>
          <w:rFonts w:ascii="Arial" w:hAnsi="Arial" w:cs="Arial"/>
          <w:sz w:val="20"/>
          <w:szCs w:val="20"/>
        </w:rPr>
        <w:t>, siend</w:t>
      </w:r>
      <w:r w:rsidR="00AD2854">
        <w:rPr>
          <w:rFonts w:ascii="Arial" w:hAnsi="Arial" w:cs="Arial"/>
          <w:sz w:val="20"/>
          <w:szCs w:val="20"/>
        </w:rPr>
        <w:t xml:space="preserve">o sus actividades principales la compra y venta de equipos de seguridad y vigilancia, prestación de servicios de instalación y mantenimiento </w:t>
      </w:r>
    </w:p>
    <w:p w:rsidR="00AD2854" w:rsidRDefault="00AD2854" w:rsidP="006A669A">
      <w:pPr>
        <w:numPr>
          <w:ilvl w:val="12"/>
          <w:numId w:val="0"/>
        </w:numPr>
        <w:ind w:right="18"/>
        <w:jc w:val="both"/>
        <w:rPr>
          <w:rFonts w:ascii="Arial" w:hAnsi="Arial" w:cs="Arial"/>
          <w:sz w:val="20"/>
          <w:szCs w:val="20"/>
        </w:rPr>
      </w:pPr>
    </w:p>
    <w:p w:rsidR="006A669A" w:rsidRPr="000D1A16" w:rsidRDefault="006A669A" w:rsidP="006A669A">
      <w:pPr>
        <w:numPr>
          <w:ilvl w:val="12"/>
          <w:numId w:val="0"/>
        </w:numPr>
        <w:ind w:right="18"/>
        <w:jc w:val="both"/>
        <w:rPr>
          <w:rFonts w:ascii="Arial" w:hAnsi="Arial" w:cs="Arial"/>
          <w:sz w:val="20"/>
          <w:szCs w:val="20"/>
        </w:rPr>
      </w:pPr>
      <w:r w:rsidRPr="000D1A16">
        <w:rPr>
          <w:rFonts w:ascii="Arial" w:hAnsi="Arial" w:cs="Arial"/>
          <w:sz w:val="20"/>
          <w:szCs w:val="20"/>
        </w:rPr>
        <w:t xml:space="preserve">La Compañía </w:t>
      </w:r>
      <w:r w:rsidR="00170015" w:rsidRPr="000D1A16">
        <w:rPr>
          <w:rFonts w:ascii="Arial" w:hAnsi="Arial" w:cs="Arial"/>
          <w:sz w:val="20"/>
          <w:szCs w:val="20"/>
        </w:rPr>
        <w:t>tiene su domicilio principal</w:t>
      </w:r>
      <w:r w:rsidRPr="000D1A16">
        <w:rPr>
          <w:rFonts w:ascii="Arial" w:hAnsi="Arial" w:cs="Arial"/>
          <w:sz w:val="20"/>
          <w:szCs w:val="20"/>
        </w:rPr>
        <w:t xml:space="preserve"> en</w:t>
      </w:r>
      <w:r w:rsidR="00170015" w:rsidRPr="000D1A16">
        <w:rPr>
          <w:rFonts w:ascii="Arial" w:hAnsi="Arial" w:cs="Arial"/>
          <w:sz w:val="20"/>
          <w:szCs w:val="20"/>
        </w:rPr>
        <w:t xml:space="preserve"> la República del</w:t>
      </w:r>
      <w:r w:rsidR="007F4C11">
        <w:rPr>
          <w:rFonts w:ascii="Arial" w:hAnsi="Arial" w:cs="Arial"/>
          <w:sz w:val="20"/>
          <w:szCs w:val="20"/>
        </w:rPr>
        <w:t xml:space="preserve"> Ec</w:t>
      </w:r>
      <w:r w:rsidR="000831B3">
        <w:rPr>
          <w:rFonts w:ascii="Arial" w:hAnsi="Arial" w:cs="Arial"/>
          <w:sz w:val="20"/>
          <w:szCs w:val="20"/>
        </w:rPr>
        <w:t>uador, en la ciudad de Quito</w:t>
      </w:r>
      <w:r w:rsidR="007F4C11">
        <w:rPr>
          <w:rFonts w:ascii="Arial" w:hAnsi="Arial" w:cs="Arial"/>
          <w:sz w:val="20"/>
          <w:szCs w:val="20"/>
        </w:rPr>
        <w:t>.</w:t>
      </w:r>
    </w:p>
    <w:p w:rsidR="00F913BA" w:rsidRPr="000D1A16" w:rsidRDefault="00F913BA" w:rsidP="008D7017">
      <w:pPr>
        <w:numPr>
          <w:ilvl w:val="12"/>
          <w:numId w:val="0"/>
        </w:numPr>
        <w:ind w:right="18"/>
        <w:jc w:val="both"/>
        <w:rPr>
          <w:rFonts w:ascii="Arial" w:hAnsi="Arial" w:cs="Arial"/>
          <w:b/>
          <w:sz w:val="20"/>
          <w:szCs w:val="20"/>
          <w:u w:val="single"/>
        </w:rPr>
      </w:pPr>
    </w:p>
    <w:p w:rsidR="00B80195" w:rsidRDefault="00B80195" w:rsidP="00B80195">
      <w:pPr>
        <w:widowControl w:val="0"/>
        <w:tabs>
          <w:tab w:val="left" w:pos="567"/>
        </w:tabs>
        <w:ind w:right="50"/>
        <w:jc w:val="both"/>
        <w:outlineLvl w:val="0"/>
        <w:rPr>
          <w:rFonts w:ascii="Arial" w:hAnsi="Arial" w:cs="Arial"/>
          <w:b/>
          <w:bCs/>
          <w:sz w:val="20"/>
          <w:szCs w:val="20"/>
        </w:rPr>
      </w:pPr>
      <w:bookmarkStart w:id="0" w:name="_Toc322974703"/>
      <w:bookmarkStart w:id="1" w:name="_Toc383947454"/>
      <w:bookmarkStart w:id="2" w:name="_Toc422899928"/>
      <w:r w:rsidRPr="0050759F">
        <w:rPr>
          <w:rFonts w:ascii="Arial" w:hAnsi="Arial" w:cs="Arial"/>
          <w:b/>
          <w:spacing w:val="-2"/>
          <w:sz w:val="20"/>
          <w:szCs w:val="20"/>
        </w:rPr>
        <w:t xml:space="preserve">NOTA 2 – </w:t>
      </w:r>
      <w:r>
        <w:rPr>
          <w:rFonts w:ascii="Arial" w:hAnsi="Arial" w:cs="Arial"/>
          <w:b/>
          <w:bCs/>
          <w:sz w:val="20"/>
          <w:szCs w:val="20"/>
        </w:rPr>
        <w:t>BASES DE PRESENTACIÓN</w:t>
      </w:r>
    </w:p>
    <w:p w:rsidR="00B80195" w:rsidRDefault="00B80195" w:rsidP="00B80195">
      <w:pPr>
        <w:jc w:val="both"/>
        <w:rPr>
          <w:rFonts w:ascii="Arial" w:hAnsi="Arial" w:cs="Arial"/>
          <w:sz w:val="20"/>
          <w:szCs w:val="20"/>
        </w:rPr>
      </w:pPr>
    </w:p>
    <w:p w:rsidR="00B80195" w:rsidRDefault="00B80195" w:rsidP="00B80195">
      <w:pPr>
        <w:jc w:val="both"/>
        <w:rPr>
          <w:rFonts w:ascii="Arial" w:hAnsi="Arial" w:cs="Arial"/>
          <w:sz w:val="20"/>
          <w:szCs w:val="20"/>
        </w:rPr>
      </w:pPr>
      <w:r>
        <w:rPr>
          <w:rFonts w:ascii="Arial" w:hAnsi="Arial" w:cs="Arial"/>
          <w:sz w:val="20"/>
          <w:szCs w:val="20"/>
        </w:rPr>
        <w:t>Las bases pone la preparación y presentación de los estados financieros es como sigue:</w:t>
      </w:r>
    </w:p>
    <w:p w:rsidR="00B80195" w:rsidRPr="0050759F" w:rsidRDefault="00B80195" w:rsidP="00B80195">
      <w:pPr>
        <w:jc w:val="both"/>
        <w:rPr>
          <w:rFonts w:ascii="Arial" w:hAnsi="Arial" w:cs="Arial"/>
          <w:sz w:val="20"/>
          <w:szCs w:val="20"/>
        </w:rPr>
      </w:pPr>
    </w:p>
    <w:p w:rsidR="00B80195" w:rsidRPr="00312F98" w:rsidRDefault="00B80195" w:rsidP="00161D0E">
      <w:pPr>
        <w:pStyle w:val="Prrafodelista"/>
        <w:numPr>
          <w:ilvl w:val="0"/>
          <w:numId w:val="22"/>
        </w:numPr>
        <w:spacing w:before="0" w:after="0"/>
        <w:ind w:left="567" w:hanging="567"/>
        <w:rPr>
          <w:rFonts w:ascii="Arial" w:hAnsi="Arial" w:cs="Arial"/>
          <w:b/>
          <w:sz w:val="20"/>
          <w:szCs w:val="20"/>
        </w:rPr>
      </w:pPr>
      <w:r w:rsidRPr="00312F98">
        <w:rPr>
          <w:rFonts w:ascii="Arial" w:hAnsi="Arial" w:cs="Arial"/>
          <w:b/>
          <w:sz w:val="20"/>
          <w:szCs w:val="20"/>
        </w:rPr>
        <w:t>Declaración de cumplimiento</w:t>
      </w:r>
    </w:p>
    <w:p w:rsidR="00B80195" w:rsidRPr="0050759F" w:rsidRDefault="00B80195" w:rsidP="00B80195">
      <w:pPr>
        <w:pStyle w:val="Prrafodelista"/>
        <w:spacing w:before="0" w:after="0"/>
        <w:ind w:left="567"/>
        <w:rPr>
          <w:rFonts w:ascii="Arial" w:hAnsi="Arial" w:cs="Arial"/>
          <w:sz w:val="20"/>
          <w:szCs w:val="20"/>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 xml:space="preserve">Los estados financieros han sido preparados de conformidad con las Normas Internacionales de Información Financiera para Pequeñas y medianas Empresas (en adelante NIIF - PYMES) emitidas por el Consejo de Normas Internacionales de Contabilidad (International </w:t>
      </w:r>
      <w:proofErr w:type="spellStart"/>
      <w:r w:rsidRPr="0050759F">
        <w:rPr>
          <w:rFonts w:ascii="Arial" w:hAnsi="Arial" w:cs="Arial"/>
          <w:spacing w:val="-2"/>
          <w:sz w:val="20"/>
          <w:szCs w:val="20"/>
        </w:rPr>
        <w:t>Accounting</w:t>
      </w:r>
      <w:proofErr w:type="spellEnd"/>
      <w:r w:rsidRPr="0050759F">
        <w:rPr>
          <w:rFonts w:ascii="Arial" w:hAnsi="Arial" w:cs="Arial"/>
          <w:spacing w:val="-2"/>
          <w:sz w:val="20"/>
          <w:szCs w:val="20"/>
        </w:rPr>
        <w:t xml:space="preserve"> </w:t>
      </w:r>
      <w:proofErr w:type="spellStart"/>
      <w:r w:rsidRPr="0050759F">
        <w:rPr>
          <w:rFonts w:ascii="Arial" w:hAnsi="Arial" w:cs="Arial"/>
          <w:spacing w:val="-2"/>
          <w:sz w:val="20"/>
          <w:szCs w:val="20"/>
        </w:rPr>
        <w:t>Standars</w:t>
      </w:r>
      <w:proofErr w:type="spellEnd"/>
      <w:r w:rsidRPr="0050759F">
        <w:rPr>
          <w:rFonts w:ascii="Arial" w:hAnsi="Arial" w:cs="Arial"/>
          <w:spacing w:val="-2"/>
          <w:sz w:val="20"/>
          <w:szCs w:val="20"/>
        </w:rPr>
        <w:t xml:space="preserve"> </w:t>
      </w:r>
      <w:proofErr w:type="spellStart"/>
      <w:r w:rsidRPr="0050759F">
        <w:rPr>
          <w:rFonts w:ascii="Arial" w:hAnsi="Arial" w:cs="Arial"/>
          <w:spacing w:val="-2"/>
          <w:sz w:val="20"/>
          <w:szCs w:val="20"/>
        </w:rPr>
        <w:t>Board</w:t>
      </w:r>
      <w:proofErr w:type="spellEnd"/>
      <w:r w:rsidRPr="0050759F">
        <w:rPr>
          <w:rFonts w:ascii="Arial" w:hAnsi="Arial" w:cs="Arial"/>
          <w:spacing w:val="-2"/>
          <w:sz w:val="20"/>
          <w:szCs w:val="20"/>
        </w:rPr>
        <w:t xml:space="preserve"> “IASB” siglas en inglés). Las principales políticas contables adoptadas por la Compañía en la preparación de los estados financieros han sido definidas en función de las NIIF-PYMES vigentes al 31 de</w:t>
      </w:r>
      <w:r>
        <w:rPr>
          <w:rFonts w:ascii="Arial" w:hAnsi="Arial" w:cs="Arial"/>
          <w:spacing w:val="-2"/>
          <w:sz w:val="20"/>
          <w:szCs w:val="20"/>
        </w:rPr>
        <w:t xml:space="preserve"> diciembre de</w:t>
      </w:r>
      <w:r w:rsidR="00E47673">
        <w:rPr>
          <w:rFonts w:ascii="Arial" w:hAnsi="Arial" w:cs="Arial"/>
          <w:spacing w:val="-2"/>
          <w:sz w:val="20"/>
          <w:szCs w:val="20"/>
        </w:rPr>
        <w:t>l 2021</w:t>
      </w:r>
      <w:r w:rsidRPr="0050759F">
        <w:rPr>
          <w:rFonts w:ascii="Arial" w:hAnsi="Arial" w:cs="Arial"/>
          <w:spacing w:val="-2"/>
          <w:sz w:val="20"/>
          <w:szCs w:val="20"/>
        </w:rPr>
        <w:t xml:space="preserve"> y han sido aplicadas de manera uniforme a todos los períodos que se presentan.</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567"/>
        <w:jc w:val="both"/>
        <w:rPr>
          <w:rFonts w:ascii="Arial" w:hAnsi="Arial" w:cs="Arial"/>
          <w:sz w:val="20"/>
          <w:szCs w:val="20"/>
        </w:rPr>
      </w:pPr>
      <w:r w:rsidRPr="0050759F">
        <w:rPr>
          <w:rFonts w:ascii="Arial" w:hAnsi="Arial" w:cs="Arial"/>
          <w:sz w:val="20"/>
          <w:szCs w:val="20"/>
        </w:rPr>
        <w:t>Los estados financieros del año que ter</w:t>
      </w:r>
      <w:r w:rsidR="00E47673">
        <w:rPr>
          <w:rFonts w:ascii="Arial" w:hAnsi="Arial" w:cs="Arial"/>
          <w:sz w:val="20"/>
          <w:szCs w:val="20"/>
        </w:rPr>
        <w:t>minó el 31 de diciembre del 2021</w:t>
      </w:r>
      <w:r w:rsidRPr="0050759F">
        <w:rPr>
          <w:rFonts w:ascii="Arial" w:hAnsi="Arial" w:cs="Arial"/>
          <w:sz w:val="20"/>
          <w:szCs w:val="20"/>
        </w:rPr>
        <w:t xml:space="preserve"> de acuerdo a NIIF-PYMES fueron aprobados por la administración</w:t>
      </w:r>
      <w:r>
        <w:rPr>
          <w:rFonts w:ascii="Arial" w:hAnsi="Arial" w:cs="Arial"/>
          <w:sz w:val="20"/>
          <w:szCs w:val="20"/>
        </w:rPr>
        <w:t xml:space="preserve"> y s</w:t>
      </w:r>
      <w:r w:rsidRPr="0050759F">
        <w:rPr>
          <w:rFonts w:ascii="Arial" w:hAnsi="Arial" w:cs="Arial"/>
          <w:sz w:val="20"/>
          <w:szCs w:val="20"/>
        </w:rPr>
        <w:t>e estima que los estados financieros serán aprobados sin modificaciones por los accionistas.</w:t>
      </w:r>
    </w:p>
    <w:p w:rsidR="00B80195" w:rsidRPr="0050759F" w:rsidRDefault="00B80195" w:rsidP="00B80195">
      <w:pPr>
        <w:ind w:left="567"/>
        <w:jc w:val="both"/>
        <w:rPr>
          <w:rFonts w:ascii="Arial" w:hAnsi="Arial" w:cs="Arial"/>
          <w:sz w:val="20"/>
          <w:szCs w:val="20"/>
        </w:rPr>
      </w:pPr>
    </w:p>
    <w:p w:rsidR="00B80195" w:rsidRPr="00312F98" w:rsidRDefault="00B80195" w:rsidP="00161D0E">
      <w:pPr>
        <w:pStyle w:val="Prrafodelista"/>
        <w:numPr>
          <w:ilvl w:val="0"/>
          <w:numId w:val="22"/>
        </w:numPr>
        <w:spacing w:before="0" w:after="0"/>
        <w:ind w:left="567" w:hanging="567"/>
        <w:rPr>
          <w:rFonts w:ascii="Arial" w:hAnsi="Arial" w:cs="Arial"/>
          <w:b/>
          <w:spacing w:val="-2"/>
          <w:sz w:val="20"/>
          <w:szCs w:val="20"/>
        </w:rPr>
      </w:pPr>
      <w:r w:rsidRPr="00312F98">
        <w:rPr>
          <w:rFonts w:ascii="Arial" w:hAnsi="Arial" w:cs="Arial"/>
          <w:b/>
          <w:spacing w:val="-2"/>
          <w:sz w:val="20"/>
          <w:szCs w:val="20"/>
        </w:rPr>
        <w:t>Base de medición</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pStyle w:val="Sangradetextonormal"/>
        <w:ind w:firstLine="0"/>
        <w:jc w:val="both"/>
        <w:rPr>
          <w:rFonts w:ascii="Arial" w:hAnsi="Arial" w:cs="Arial"/>
          <w:spacing w:val="-2"/>
          <w:sz w:val="20"/>
          <w:lang w:val="es-EC"/>
        </w:rPr>
      </w:pPr>
      <w:r w:rsidRPr="0050759F">
        <w:rPr>
          <w:rFonts w:ascii="Arial" w:hAnsi="Arial" w:cs="Arial"/>
          <w:spacing w:val="-2"/>
          <w:sz w:val="20"/>
        </w:rPr>
        <w:t xml:space="preserve">Los estados financieros han sido preparados sobre la base de costo histórico, excepto por los pasivos laborales de largo plazo que se reconocen al valor razonable determinado por un especialista. </w:t>
      </w:r>
    </w:p>
    <w:p w:rsidR="00B80195" w:rsidRPr="0050759F" w:rsidRDefault="00B80195" w:rsidP="00B80195">
      <w:pPr>
        <w:pStyle w:val="Sangradetextonormal"/>
        <w:ind w:firstLine="0"/>
        <w:jc w:val="both"/>
        <w:rPr>
          <w:rFonts w:ascii="Arial" w:hAnsi="Arial" w:cs="Arial"/>
          <w:spacing w:val="-2"/>
          <w:sz w:val="20"/>
          <w:lang w:val="es-EC"/>
        </w:rPr>
      </w:pPr>
    </w:p>
    <w:p w:rsidR="00B80195" w:rsidRPr="0050759F" w:rsidRDefault="00B80195" w:rsidP="00B80195">
      <w:pPr>
        <w:pStyle w:val="Sangradetextonormal"/>
        <w:ind w:firstLine="0"/>
        <w:jc w:val="both"/>
        <w:rPr>
          <w:rFonts w:ascii="Arial" w:hAnsi="Arial" w:cs="Arial"/>
          <w:spacing w:val="-2"/>
          <w:sz w:val="20"/>
        </w:rPr>
      </w:pPr>
      <w:r w:rsidRPr="0050759F">
        <w:rPr>
          <w:rFonts w:ascii="Arial" w:hAnsi="Arial" w:cs="Arial"/>
          <w:spacing w:val="-2"/>
          <w:sz w:val="20"/>
        </w:rPr>
        <w:t>El costo histórico generalmente constituye el valor razonable de la contraprestación entregada a cambio de bienes y servicios.</w:t>
      </w:r>
    </w:p>
    <w:p w:rsidR="00B80195" w:rsidRDefault="00B80195" w:rsidP="00B80195">
      <w:pPr>
        <w:pStyle w:val="Prrafodelista"/>
        <w:spacing w:before="0" w:after="0"/>
        <w:ind w:left="0"/>
        <w:rPr>
          <w:rFonts w:ascii="Arial" w:hAnsi="Arial" w:cs="Arial"/>
          <w:spacing w:val="-2"/>
          <w:sz w:val="20"/>
          <w:szCs w:val="20"/>
          <w:lang w:val="es-ES"/>
        </w:rPr>
      </w:pPr>
    </w:p>
    <w:p w:rsidR="00B80195" w:rsidRPr="00312F98" w:rsidRDefault="00B80195" w:rsidP="00161D0E">
      <w:pPr>
        <w:pStyle w:val="Prrafodelista"/>
        <w:numPr>
          <w:ilvl w:val="0"/>
          <w:numId w:val="22"/>
        </w:numPr>
        <w:spacing w:before="0" w:after="0"/>
        <w:ind w:left="567" w:hanging="567"/>
        <w:rPr>
          <w:rFonts w:ascii="Arial" w:hAnsi="Arial" w:cs="Arial"/>
          <w:b/>
          <w:spacing w:val="-2"/>
          <w:sz w:val="20"/>
          <w:szCs w:val="20"/>
        </w:rPr>
      </w:pPr>
      <w:r w:rsidRPr="00312F98">
        <w:rPr>
          <w:rFonts w:ascii="Arial" w:hAnsi="Arial" w:cs="Arial"/>
          <w:b/>
          <w:spacing w:val="-2"/>
          <w:sz w:val="20"/>
          <w:szCs w:val="20"/>
        </w:rPr>
        <w:t xml:space="preserve">Moneda funcional y presentación </w:t>
      </w:r>
    </w:p>
    <w:p w:rsidR="00B80195" w:rsidRPr="0050759F" w:rsidRDefault="00B80195" w:rsidP="00B80195">
      <w:pPr>
        <w:pStyle w:val="Prrafodelista"/>
        <w:spacing w:before="0" w:after="0"/>
        <w:ind w:left="567"/>
        <w:rPr>
          <w:rFonts w:ascii="Arial" w:hAnsi="Arial" w:cs="Arial"/>
          <w:b/>
          <w:spacing w:val="-2"/>
          <w:sz w:val="20"/>
          <w:szCs w:val="20"/>
          <w:u w:val="single"/>
        </w:rPr>
      </w:pPr>
    </w:p>
    <w:p w:rsidR="00B80195" w:rsidRPr="0050759F" w:rsidRDefault="00B80195" w:rsidP="00B80195">
      <w:pPr>
        <w:pStyle w:val="Sangradetextonormal"/>
        <w:ind w:firstLine="0"/>
        <w:jc w:val="both"/>
        <w:rPr>
          <w:rFonts w:ascii="Arial" w:hAnsi="Arial" w:cs="Arial"/>
          <w:spacing w:val="-2"/>
          <w:sz w:val="20"/>
        </w:rPr>
      </w:pPr>
      <w:r w:rsidRPr="0050759F">
        <w:rPr>
          <w:rFonts w:ascii="Arial" w:hAnsi="Arial" w:cs="Arial"/>
          <w:spacing w:val="-2"/>
          <w:sz w:val="20"/>
        </w:rPr>
        <w:t xml:space="preserve">Los estados financieros se presentan en dólares de los Estados Unidos de América “US$” que es la moneda funcional y de </w:t>
      </w:r>
      <w:r w:rsidRPr="0050759F">
        <w:rPr>
          <w:rFonts w:ascii="Arial" w:hAnsi="Arial" w:cs="Arial"/>
          <w:spacing w:val="-2"/>
          <w:sz w:val="20"/>
          <w:lang w:val="es-EC"/>
        </w:rPr>
        <w:t>las operaciones</w:t>
      </w:r>
      <w:r w:rsidRPr="0050759F">
        <w:rPr>
          <w:rFonts w:ascii="Arial" w:hAnsi="Arial" w:cs="Arial"/>
          <w:spacing w:val="-2"/>
          <w:sz w:val="20"/>
        </w:rPr>
        <w:t xml:space="preserve"> de la Compañía. La información que se presenta en las notas y estados financieros están </w:t>
      </w:r>
      <w:r w:rsidRPr="0050759F">
        <w:rPr>
          <w:rFonts w:ascii="Arial" w:hAnsi="Arial" w:cs="Arial"/>
          <w:spacing w:val="-2"/>
          <w:sz w:val="20"/>
          <w:lang w:val="es-EC"/>
        </w:rPr>
        <w:t xml:space="preserve">en </w:t>
      </w:r>
      <w:r w:rsidRPr="0050759F">
        <w:rPr>
          <w:rFonts w:ascii="Arial" w:hAnsi="Arial" w:cs="Arial"/>
          <w:spacing w:val="-2"/>
          <w:sz w:val="20"/>
        </w:rPr>
        <w:t>la moneda antes mencionada, excepto cuando existen saldos o transacciones en otras monedas.</w:t>
      </w:r>
    </w:p>
    <w:p w:rsidR="00B80195" w:rsidRPr="0050759F" w:rsidRDefault="00B80195" w:rsidP="00B80195">
      <w:pPr>
        <w:pStyle w:val="Prrafodelista"/>
        <w:spacing w:before="0" w:after="0"/>
        <w:ind w:left="567"/>
        <w:jc w:val="center"/>
        <w:rPr>
          <w:rFonts w:ascii="Arial" w:hAnsi="Arial" w:cs="Arial"/>
          <w:spacing w:val="-2"/>
          <w:sz w:val="20"/>
          <w:szCs w:val="20"/>
        </w:rPr>
      </w:pPr>
    </w:p>
    <w:p w:rsidR="00B80195" w:rsidRPr="0050759F" w:rsidRDefault="00B80195" w:rsidP="00161D0E">
      <w:pPr>
        <w:numPr>
          <w:ilvl w:val="0"/>
          <w:numId w:val="22"/>
        </w:numPr>
        <w:ind w:left="567" w:hanging="567"/>
        <w:jc w:val="both"/>
        <w:rPr>
          <w:rFonts w:ascii="Arial" w:hAnsi="Arial" w:cs="Arial"/>
          <w:b/>
          <w:spacing w:val="-2"/>
          <w:sz w:val="20"/>
          <w:szCs w:val="20"/>
        </w:rPr>
      </w:pPr>
      <w:r w:rsidRPr="0050759F">
        <w:rPr>
          <w:rFonts w:ascii="Arial" w:hAnsi="Arial" w:cs="Arial"/>
          <w:b/>
          <w:spacing w:val="-2"/>
          <w:sz w:val="20"/>
          <w:szCs w:val="20"/>
        </w:rPr>
        <w:t>Clasificación de partidas en corrientes y no corrientes</w:t>
      </w:r>
      <w:bookmarkStart w:id="3" w:name="_GoBack"/>
      <w:bookmarkEnd w:id="3"/>
    </w:p>
    <w:p w:rsidR="00B80195" w:rsidRPr="0050759F" w:rsidRDefault="00B80195" w:rsidP="00B80195">
      <w:pPr>
        <w:ind w:left="567"/>
        <w:jc w:val="both"/>
        <w:rPr>
          <w:rFonts w:ascii="Arial" w:hAnsi="Arial" w:cs="Arial"/>
          <w:spacing w:val="-2"/>
          <w:sz w:val="20"/>
          <w:szCs w:val="20"/>
        </w:rPr>
      </w:pPr>
    </w:p>
    <w:p w:rsidR="00B80195" w:rsidRDefault="00B80195" w:rsidP="00B80195">
      <w:pPr>
        <w:ind w:left="567"/>
        <w:jc w:val="both"/>
        <w:rPr>
          <w:rFonts w:ascii="Arial" w:hAnsi="Arial" w:cs="Arial"/>
          <w:spacing w:val="-2"/>
          <w:sz w:val="20"/>
          <w:szCs w:val="20"/>
        </w:rPr>
      </w:pPr>
      <w:r w:rsidRPr="0050759F">
        <w:rPr>
          <w:rFonts w:ascii="Arial" w:hAnsi="Arial" w:cs="Arial"/>
          <w:spacing w:val="-2"/>
          <w:sz w:val="20"/>
          <w:szCs w:val="20"/>
        </w:rPr>
        <w:t xml:space="preserve">La Entidad presenta los activos y pasivos en el estado de situación financiera clasificados como corrientes y no corrientes. </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lastRenderedPageBreak/>
        <w:t>Un activo se clasifica como corriente cuando la entidad:</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espera realizar el activo o tiene la intención de venderlo o consumirlo en su ciclo normal de operación;</w:t>
      </w:r>
    </w:p>
    <w:p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mantiene el activo principalmente con fines de negociación;</w:t>
      </w:r>
    </w:p>
    <w:p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espera realizar el activo dentro de los doce meses siguientes después del período sobre el que se informa; o</w:t>
      </w:r>
    </w:p>
    <w:p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el activo es efectivo o equivalente al efectivo a menos que éste se encuentre restringido y no pueda ser intercambiado ni utilizado para cancelar un pasivo por un período mínimo de doce meses después del cierre del período sobre el que se informa.</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 xml:space="preserve">Todos los demás activos se clasifican como no corrientes. </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Un pasivo se clasifica como corriente cuando la Entidad:</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espera liquidar el pasivo en su ciclo normal de operación;</w:t>
      </w:r>
    </w:p>
    <w:p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mantiene el pasivo principalmente con fines de negociación;</w:t>
      </w:r>
    </w:p>
    <w:p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el pasivo debe liquidarse dentro de los doce meses siguientes a la fecha de cierre del período sobre el que se informa; o</w:t>
      </w:r>
    </w:p>
    <w:p w:rsidR="00B80195" w:rsidRPr="0050759F" w:rsidRDefault="00B80195" w:rsidP="00B80195">
      <w:pPr>
        <w:ind w:left="1134" w:hanging="567"/>
        <w:jc w:val="both"/>
        <w:rPr>
          <w:rFonts w:ascii="Arial" w:hAnsi="Arial" w:cs="Arial"/>
          <w:spacing w:val="-2"/>
          <w:sz w:val="20"/>
          <w:szCs w:val="20"/>
        </w:rPr>
      </w:pPr>
      <w:r w:rsidRPr="0050759F">
        <w:rPr>
          <w:rFonts w:ascii="Arial" w:hAnsi="Arial" w:cs="Arial"/>
          <w:spacing w:val="-2"/>
          <w:sz w:val="20"/>
          <w:szCs w:val="20"/>
        </w:rPr>
        <w:t>-</w:t>
      </w:r>
      <w:r w:rsidRPr="0050759F">
        <w:rPr>
          <w:rFonts w:ascii="Arial" w:hAnsi="Arial" w:cs="Arial"/>
          <w:spacing w:val="-2"/>
          <w:sz w:val="20"/>
          <w:szCs w:val="20"/>
        </w:rPr>
        <w:tab/>
        <w:t>no tiene un derecho incondicional para aplazar la cancelación del pasivo durante, al menos, los doce meses siguientes a la fecha de cierre del período sobre el que se informa.</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Todos los demás pasivos se clasifican como no corrientes.</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Los activos y pasivos por impuestos diferidos se clasifican como activos y pasivos no corrientes, en todos los casos.</w:t>
      </w:r>
    </w:p>
    <w:p w:rsidR="00B80195" w:rsidRDefault="00B80195" w:rsidP="00B80195">
      <w:pPr>
        <w:jc w:val="both"/>
        <w:rPr>
          <w:rFonts w:ascii="Arial" w:hAnsi="Arial" w:cs="Arial"/>
          <w:spacing w:val="-2"/>
          <w:sz w:val="20"/>
          <w:szCs w:val="20"/>
        </w:rPr>
      </w:pPr>
    </w:p>
    <w:p w:rsidR="00B80195" w:rsidRPr="000428CE" w:rsidRDefault="00B80195" w:rsidP="00B80195">
      <w:pPr>
        <w:widowControl w:val="0"/>
        <w:tabs>
          <w:tab w:val="left" w:pos="567"/>
        </w:tabs>
        <w:ind w:right="50"/>
        <w:jc w:val="both"/>
        <w:outlineLvl w:val="0"/>
        <w:rPr>
          <w:rFonts w:ascii="Arial" w:hAnsi="Arial" w:cs="Arial"/>
          <w:b/>
          <w:bCs/>
          <w:sz w:val="20"/>
          <w:szCs w:val="20"/>
        </w:rPr>
      </w:pPr>
      <w:r w:rsidRPr="000428CE">
        <w:rPr>
          <w:rFonts w:ascii="Arial" w:hAnsi="Arial" w:cs="Arial"/>
          <w:b/>
          <w:bCs/>
          <w:sz w:val="20"/>
          <w:szCs w:val="20"/>
        </w:rPr>
        <w:t>NOTA 3 - RESUMEN DE LAS PRINCIPALES POLÍTICAS CONTABLES</w:t>
      </w:r>
    </w:p>
    <w:p w:rsidR="00B80195" w:rsidRPr="000428CE" w:rsidRDefault="00B80195" w:rsidP="00B80195">
      <w:pPr>
        <w:jc w:val="both"/>
        <w:rPr>
          <w:rFonts w:ascii="Arial" w:eastAsia="Arial" w:hAnsi="Arial" w:cs="Arial"/>
          <w:sz w:val="20"/>
          <w:szCs w:val="20"/>
        </w:rPr>
      </w:pPr>
    </w:p>
    <w:p w:rsidR="00B80195" w:rsidRPr="000428CE" w:rsidRDefault="00B80195" w:rsidP="00B80195">
      <w:pPr>
        <w:jc w:val="both"/>
        <w:rPr>
          <w:rFonts w:ascii="Arial" w:eastAsia="Arial" w:hAnsi="Arial" w:cs="Arial"/>
          <w:sz w:val="20"/>
          <w:szCs w:val="20"/>
        </w:rPr>
      </w:pPr>
      <w:r w:rsidRPr="000428CE">
        <w:rPr>
          <w:rFonts w:ascii="Arial" w:eastAsia="Arial" w:hAnsi="Arial" w:cs="Arial"/>
          <w:sz w:val="20"/>
          <w:szCs w:val="20"/>
        </w:rPr>
        <w:t>Las principales políticas de contabilidad aplicadas por la Compañía en la preparación de los estados financieros son como sigue:</w:t>
      </w:r>
    </w:p>
    <w:p w:rsidR="00B80195" w:rsidRPr="00F21D57" w:rsidRDefault="00B80195" w:rsidP="00B80195">
      <w:pPr>
        <w:jc w:val="both"/>
        <w:rPr>
          <w:rFonts w:ascii="Arial" w:hAnsi="Arial" w:cs="Arial"/>
          <w:spacing w:val="-2"/>
          <w:sz w:val="20"/>
          <w:szCs w:val="20"/>
        </w:rPr>
      </w:pPr>
    </w:p>
    <w:p w:rsidR="00B80195" w:rsidRPr="00F21D57" w:rsidRDefault="00B80195" w:rsidP="00161D0E">
      <w:pPr>
        <w:numPr>
          <w:ilvl w:val="0"/>
          <w:numId w:val="23"/>
        </w:numPr>
        <w:ind w:left="567" w:hanging="567"/>
        <w:jc w:val="both"/>
        <w:rPr>
          <w:rFonts w:ascii="Arial" w:hAnsi="Arial" w:cs="Arial"/>
          <w:b/>
          <w:spacing w:val="-2"/>
          <w:sz w:val="20"/>
          <w:szCs w:val="20"/>
        </w:rPr>
      </w:pPr>
      <w:r w:rsidRPr="00F21D57">
        <w:rPr>
          <w:rFonts w:ascii="Arial" w:hAnsi="Arial" w:cs="Arial"/>
          <w:b/>
          <w:spacing w:val="-2"/>
          <w:sz w:val="20"/>
          <w:szCs w:val="20"/>
        </w:rPr>
        <w:t>Medición de Valores Razonables</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La Compañía de acuerdo con lo establecido en las NIIF-PYMES de algunos rubros de los activos y pasivos financieros; los no financieros y de varias estimaciones contables requieren la determinación de valores razonables conforme lo establecen las NIIF-PYMES al: (i) reconocimiento inicial; (ii) revelar en los estados financieros y notas; y, (iii) reconocer los ajustes cuando existen indicios de deterioro de los activos financieros y de larga vida.</w:t>
      </w:r>
    </w:p>
    <w:p w:rsidR="00B80195" w:rsidRPr="0050759F" w:rsidRDefault="00B80195" w:rsidP="00B80195">
      <w:pPr>
        <w:ind w:left="567"/>
        <w:jc w:val="both"/>
        <w:rPr>
          <w:rFonts w:ascii="Arial" w:hAnsi="Arial" w:cs="Arial"/>
          <w:spacing w:val="-2"/>
          <w:sz w:val="20"/>
          <w:szCs w:val="20"/>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 xml:space="preserve">La Compañía </w:t>
      </w:r>
      <w:r>
        <w:rPr>
          <w:rFonts w:ascii="Arial" w:hAnsi="Arial" w:cs="Arial"/>
          <w:spacing w:val="-2"/>
          <w:sz w:val="20"/>
          <w:szCs w:val="20"/>
        </w:rPr>
        <w:t>en</w:t>
      </w:r>
      <w:r w:rsidRPr="0050759F">
        <w:rPr>
          <w:rFonts w:ascii="Arial" w:hAnsi="Arial" w:cs="Arial"/>
          <w:spacing w:val="-2"/>
          <w:sz w:val="20"/>
          <w:szCs w:val="20"/>
        </w:rPr>
        <w:t xml:space="preserve"> la medición de un activo o pasivo a valores razonables utiliza información de mercados observables siempre que esta sea confiable tal como lo requieren las NIIF-PYMES. De acuerdo a lo requerido por las NIIF-PYMES, los valores razonables se clasifican en niveles distintos dentro de su jerarquía de valor razonable y los cuales se basan en las variables o técnicas de valoración, tal como sigue:</w:t>
      </w:r>
    </w:p>
    <w:p w:rsidR="00B80195" w:rsidRPr="0050759F" w:rsidRDefault="00B80195" w:rsidP="00B80195">
      <w:pPr>
        <w:ind w:left="567"/>
        <w:jc w:val="both"/>
        <w:rPr>
          <w:rFonts w:ascii="Arial" w:hAnsi="Arial" w:cs="Arial"/>
          <w:spacing w:val="-2"/>
          <w:sz w:val="20"/>
          <w:szCs w:val="20"/>
        </w:rPr>
      </w:pPr>
    </w:p>
    <w:p w:rsidR="00B80195" w:rsidRDefault="00B80195" w:rsidP="00161D0E">
      <w:pPr>
        <w:pStyle w:val="Prrafodelista"/>
        <w:numPr>
          <w:ilvl w:val="0"/>
          <w:numId w:val="19"/>
        </w:numPr>
        <w:spacing w:before="0" w:after="0"/>
        <w:ind w:left="1134" w:hanging="283"/>
        <w:rPr>
          <w:rFonts w:ascii="Arial" w:hAnsi="Arial" w:cs="Arial"/>
          <w:spacing w:val="-2"/>
          <w:sz w:val="20"/>
          <w:szCs w:val="20"/>
        </w:rPr>
      </w:pPr>
      <w:r w:rsidRPr="0050759F">
        <w:rPr>
          <w:rFonts w:ascii="Arial" w:hAnsi="Arial" w:cs="Arial"/>
          <w:b/>
          <w:spacing w:val="-2"/>
          <w:sz w:val="20"/>
          <w:szCs w:val="20"/>
          <w:u w:val="single"/>
        </w:rPr>
        <w:t>Valores de mercado:</w:t>
      </w:r>
      <w:r w:rsidRPr="0050759F">
        <w:rPr>
          <w:rFonts w:ascii="Arial" w:hAnsi="Arial" w:cs="Arial"/>
          <w:spacing w:val="-2"/>
          <w:sz w:val="20"/>
          <w:szCs w:val="20"/>
        </w:rPr>
        <w:t xml:space="preserve"> Precios cotizados (no ajustados) en mercados activos para los activos o pasivos idénticos o similares.</w:t>
      </w:r>
    </w:p>
    <w:p w:rsidR="00B80195" w:rsidRPr="0050759F" w:rsidRDefault="00B80195" w:rsidP="00B80195">
      <w:pPr>
        <w:pStyle w:val="Prrafodelista"/>
        <w:spacing w:before="0" w:after="0"/>
        <w:ind w:left="1134"/>
        <w:rPr>
          <w:rFonts w:ascii="Arial" w:hAnsi="Arial" w:cs="Arial"/>
          <w:spacing w:val="-2"/>
          <w:sz w:val="20"/>
          <w:szCs w:val="20"/>
        </w:rPr>
      </w:pPr>
    </w:p>
    <w:p w:rsidR="00B80195" w:rsidRDefault="00B80195" w:rsidP="00161D0E">
      <w:pPr>
        <w:pStyle w:val="Prrafodelista"/>
        <w:numPr>
          <w:ilvl w:val="0"/>
          <w:numId w:val="19"/>
        </w:numPr>
        <w:spacing w:before="0" w:after="0"/>
        <w:ind w:left="1134" w:hanging="283"/>
        <w:rPr>
          <w:rFonts w:ascii="Arial" w:hAnsi="Arial" w:cs="Arial"/>
          <w:spacing w:val="-2"/>
          <w:sz w:val="20"/>
          <w:szCs w:val="20"/>
        </w:rPr>
      </w:pPr>
      <w:r w:rsidRPr="0050759F">
        <w:rPr>
          <w:rFonts w:ascii="Arial" w:hAnsi="Arial" w:cs="Arial"/>
          <w:b/>
          <w:spacing w:val="-2"/>
          <w:sz w:val="20"/>
          <w:szCs w:val="20"/>
          <w:u w:val="single"/>
        </w:rPr>
        <w:t>Información diferente a precios de mercado del nivel anterior</w:t>
      </w:r>
      <w:r w:rsidRPr="0050759F">
        <w:rPr>
          <w:rFonts w:ascii="Arial" w:hAnsi="Arial" w:cs="Arial"/>
          <w:spacing w:val="-2"/>
          <w:sz w:val="20"/>
          <w:szCs w:val="20"/>
        </w:rPr>
        <w:t>: los cuales sean iguales para un activo o pasivo, los cuales provienen de valores directamente (precios de últimas transacciones) o indirectamente (derivados de los precios determinados por especialistas en función de estudios o precios referenciales).</w:t>
      </w:r>
    </w:p>
    <w:p w:rsidR="00B80195" w:rsidRDefault="00B80195" w:rsidP="00B80195">
      <w:pPr>
        <w:pStyle w:val="Prrafodelista"/>
        <w:rPr>
          <w:rFonts w:ascii="Arial" w:hAnsi="Arial" w:cs="Arial"/>
          <w:spacing w:val="-2"/>
          <w:sz w:val="20"/>
          <w:szCs w:val="20"/>
        </w:rPr>
      </w:pPr>
    </w:p>
    <w:p w:rsidR="00B80195" w:rsidRPr="0050759F" w:rsidRDefault="00B80195" w:rsidP="00161D0E">
      <w:pPr>
        <w:pStyle w:val="Prrafodelista"/>
        <w:numPr>
          <w:ilvl w:val="0"/>
          <w:numId w:val="19"/>
        </w:numPr>
        <w:spacing w:before="0" w:after="0"/>
        <w:ind w:left="1134" w:hanging="283"/>
        <w:rPr>
          <w:rFonts w:ascii="Arial" w:hAnsi="Arial" w:cs="Arial"/>
          <w:spacing w:val="-2"/>
          <w:sz w:val="20"/>
          <w:szCs w:val="20"/>
        </w:rPr>
      </w:pPr>
      <w:r w:rsidRPr="0050759F">
        <w:rPr>
          <w:rFonts w:ascii="Arial" w:hAnsi="Arial" w:cs="Arial"/>
          <w:b/>
          <w:spacing w:val="-2"/>
          <w:sz w:val="20"/>
          <w:szCs w:val="20"/>
          <w:u w:val="single"/>
        </w:rPr>
        <w:lastRenderedPageBreak/>
        <w:t>Información proveniente del uso de técnicas financiera:</w:t>
      </w:r>
      <w:r w:rsidRPr="0050759F">
        <w:rPr>
          <w:rFonts w:ascii="Arial" w:hAnsi="Arial" w:cs="Arial"/>
          <w:b/>
          <w:spacing w:val="-2"/>
          <w:sz w:val="20"/>
          <w:szCs w:val="20"/>
        </w:rPr>
        <w:t xml:space="preserve"> </w:t>
      </w:r>
      <w:r w:rsidRPr="0050759F">
        <w:rPr>
          <w:rFonts w:ascii="Arial" w:hAnsi="Arial" w:cs="Arial"/>
          <w:spacing w:val="-2"/>
          <w:sz w:val="20"/>
          <w:szCs w:val="20"/>
        </w:rPr>
        <w:t>aplicables a los datos internos del activo o pasivo y que no proviene de valores o información de mercado.</w:t>
      </w:r>
    </w:p>
    <w:p w:rsidR="00B80195" w:rsidRPr="0050759F" w:rsidRDefault="00B80195" w:rsidP="00B80195">
      <w:pPr>
        <w:ind w:left="567"/>
        <w:jc w:val="both"/>
        <w:rPr>
          <w:rFonts w:ascii="Arial" w:hAnsi="Arial" w:cs="Arial"/>
          <w:spacing w:val="-2"/>
          <w:sz w:val="20"/>
          <w:szCs w:val="20"/>
          <w:lang w:val="es-EC"/>
        </w:rPr>
      </w:pPr>
    </w:p>
    <w:p w:rsidR="00B80195" w:rsidRPr="0050759F" w:rsidRDefault="00B80195" w:rsidP="00B80195">
      <w:pPr>
        <w:ind w:left="567"/>
        <w:jc w:val="both"/>
        <w:rPr>
          <w:rFonts w:ascii="Arial" w:hAnsi="Arial" w:cs="Arial"/>
          <w:spacing w:val="-2"/>
          <w:sz w:val="20"/>
          <w:szCs w:val="20"/>
        </w:rPr>
      </w:pPr>
      <w:r w:rsidRPr="0050759F">
        <w:rPr>
          <w:rFonts w:ascii="Arial" w:hAnsi="Arial" w:cs="Arial"/>
          <w:spacing w:val="-2"/>
          <w:sz w:val="20"/>
          <w:szCs w:val="20"/>
        </w:rPr>
        <w:t>La información o variables que se utilicen para medir el valor razonable de un activo o pasivo, pueden clasificarse en uno de los niveles de jerarquía detallados anteriormente, por ende la medición del valor razonable puede clasificarse en el mismo nivel de jerarquía del valor razonable de la variable del nivel más bajo que sea significativa para la medición total de los activos y pasivos. Los cambios entre los niveles de jerarquía del valor razonable se reconocen al cierre de cada período en el cual se originó el cambio.</w:t>
      </w:r>
    </w:p>
    <w:p w:rsidR="00B80195" w:rsidRPr="0050759F" w:rsidRDefault="00B80195" w:rsidP="00B80195">
      <w:pPr>
        <w:ind w:left="567"/>
        <w:jc w:val="both"/>
        <w:rPr>
          <w:rFonts w:ascii="Arial" w:hAnsi="Arial" w:cs="Arial"/>
          <w:spacing w:val="-2"/>
          <w:sz w:val="20"/>
          <w:szCs w:val="20"/>
        </w:rPr>
      </w:pPr>
    </w:p>
    <w:p w:rsidR="00B80195" w:rsidRDefault="00B80195" w:rsidP="00B80195">
      <w:pPr>
        <w:ind w:left="567"/>
        <w:jc w:val="both"/>
        <w:rPr>
          <w:rFonts w:ascii="Arial" w:hAnsi="Arial" w:cs="Arial"/>
          <w:spacing w:val="-2"/>
          <w:sz w:val="20"/>
          <w:szCs w:val="20"/>
        </w:rPr>
      </w:pPr>
      <w:r w:rsidRPr="0050759F">
        <w:rPr>
          <w:rFonts w:ascii="Arial" w:hAnsi="Arial" w:cs="Arial"/>
          <w:spacing w:val="-2"/>
          <w:sz w:val="20"/>
          <w:szCs w:val="20"/>
        </w:rPr>
        <w:t xml:space="preserve">La información adicional sobre los supuestos o hechos para medir los valores razonables se incluye en la nota </w:t>
      </w:r>
      <w:r>
        <w:rPr>
          <w:rFonts w:ascii="Arial" w:hAnsi="Arial" w:cs="Arial"/>
          <w:spacing w:val="-2"/>
          <w:sz w:val="20"/>
          <w:szCs w:val="20"/>
        </w:rPr>
        <w:t>5</w:t>
      </w:r>
      <w:r w:rsidRPr="0050759F">
        <w:rPr>
          <w:rFonts w:ascii="Arial" w:hAnsi="Arial" w:cs="Arial"/>
          <w:spacing w:val="-2"/>
          <w:sz w:val="20"/>
          <w:szCs w:val="20"/>
        </w:rPr>
        <w:t>.</w:t>
      </w:r>
    </w:p>
    <w:p w:rsidR="0015558F" w:rsidRPr="0050759F" w:rsidRDefault="0015558F" w:rsidP="00B80195">
      <w:pPr>
        <w:ind w:left="567"/>
        <w:jc w:val="both"/>
        <w:rPr>
          <w:rFonts w:ascii="Arial" w:hAnsi="Arial" w:cs="Arial"/>
          <w:sz w:val="20"/>
          <w:lang w:val="es-EC"/>
        </w:rPr>
      </w:pPr>
    </w:p>
    <w:p w:rsidR="00B80195" w:rsidRPr="00F21D57" w:rsidRDefault="00B80195" w:rsidP="00161D0E">
      <w:pPr>
        <w:numPr>
          <w:ilvl w:val="0"/>
          <w:numId w:val="23"/>
        </w:numPr>
        <w:ind w:left="567" w:hanging="567"/>
        <w:jc w:val="both"/>
        <w:rPr>
          <w:rFonts w:ascii="Arial" w:hAnsi="Arial" w:cs="Arial"/>
          <w:b/>
          <w:bCs/>
          <w:snapToGrid w:val="0"/>
          <w:sz w:val="20"/>
          <w:szCs w:val="20"/>
          <w:lang w:eastAsia="en-US"/>
        </w:rPr>
      </w:pPr>
      <w:r w:rsidRPr="00F21D57">
        <w:rPr>
          <w:rFonts w:ascii="Arial" w:hAnsi="Arial" w:cs="Arial"/>
          <w:b/>
          <w:bCs/>
          <w:snapToGrid w:val="0"/>
          <w:sz w:val="20"/>
          <w:szCs w:val="20"/>
          <w:lang w:eastAsia="en-US"/>
        </w:rPr>
        <w:t>Efectivo y equivalentes de efectivo</w:t>
      </w:r>
    </w:p>
    <w:p w:rsidR="00B80195" w:rsidRPr="0050759F" w:rsidRDefault="00B80195" w:rsidP="00B80195">
      <w:pPr>
        <w:pStyle w:val="Sangradetextonormal"/>
        <w:tabs>
          <w:tab w:val="clear" w:pos="-720"/>
          <w:tab w:val="clear" w:pos="567"/>
        </w:tabs>
        <w:ind w:firstLine="0"/>
        <w:jc w:val="both"/>
        <w:rPr>
          <w:rFonts w:ascii="Arial" w:hAnsi="Arial" w:cs="Arial"/>
          <w:sz w:val="20"/>
          <w:lang w:val="es-ES"/>
        </w:rPr>
      </w:pPr>
    </w:p>
    <w:p w:rsidR="00B80195" w:rsidRPr="0050759F" w:rsidRDefault="00B80195" w:rsidP="00B80195">
      <w:pPr>
        <w:ind w:left="567"/>
        <w:jc w:val="both"/>
        <w:rPr>
          <w:rFonts w:ascii="Arial" w:hAnsi="Arial" w:cs="Arial"/>
          <w:bCs/>
          <w:snapToGrid w:val="0"/>
          <w:sz w:val="20"/>
          <w:szCs w:val="20"/>
          <w:lang w:eastAsia="en-US"/>
        </w:rPr>
      </w:pPr>
      <w:r w:rsidRPr="0050759F">
        <w:rPr>
          <w:rFonts w:ascii="Arial" w:hAnsi="Arial" w:cs="Arial"/>
          <w:bCs/>
          <w:snapToGrid w:val="0"/>
          <w:sz w:val="20"/>
          <w:szCs w:val="20"/>
          <w:lang w:eastAsia="en-US"/>
        </w:rPr>
        <w:t>El efectivo y los equivalentes de efectivo para propósitos de estado de flujos efectivo constituye los saldos disponibles en caja bancos y depósitos a plazo en entidades financieras cuya liquidez es menor a los 90 días y están sujetos a disposición inmediata.</w:t>
      </w:r>
    </w:p>
    <w:p w:rsidR="00B80195" w:rsidRPr="0050759F" w:rsidRDefault="00B80195" w:rsidP="00B80195">
      <w:pPr>
        <w:ind w:left="567"/>
        <w:jc w:val="both"/>
        <w:rPr>
          <w:rFonts w:ascii="Arial" w:hAnsi="Arial" w:cs="Arial"/>
          <w:bCs/>
          <w:snapToGrid w:val="0"/>
          <w:sz w:val="20"/>
          <w:szCs w:val="20"/>
          <w:lang w:eastAsia="en-US"/>
        </w:rPr>
      </w:pPr>
    </w:p>
    <w:p w:rsidR="00B80195" w:rsidRPr="00F21D57" w:rsidRDefault="00B80195" w:rsidP="00161D0E">
      <w:pPr>
        <w:numPr>
          <w:ilvl w:val="0"/>
          <w:numId w:val="23"/>
        </w:numPr>
        <w:ind w:left="567" w:hanging="567"/>
        <w:jc w:val="both"/>
        <w:rPr>
          <w:rFonts w:ascii="Arial" w:hAnsi="Arial" w:cs="Arial"/>
          <w:b/>
          <w:bCs/>
          <w:snapToGrid w:val="0"/>
          <w:sz w:val="20"/>
          <w:szCs w:val="20"/>
          <w:lang w:eastAsia="en-US"/>
        </w:rPr>
      </w:pPr>
      <w:r w:rsidRPr="00F21D57">
        <w:rPr>
          <w:rFonts w:ascii="Arial" w:hAnsi="Arial" w:cs="Arial"/>
          <w:b/>
          <w:bCs/>
          <w:snapToGrid w:val="0"/>
          <w:sz w:val="20"/>
          <w:szCs w:val="20"/>
          <w:lang w:eastAsia="en-US"/>
        </w:rPr>
        <w:t>Instrumentos financieros</w:t>
      </w:r>
    </w:p>
    <w:p w:rsidR="00B80195" w:rsidRPr="0050759F" w:rsidRDefault="00B80195" w:rsidP="00B80195">
      <w:pPr>
        <w:ind w:left="567"/>
        <w:jc w:val="both"/>
        <w:rPr>
          <w:rFonts w:ascii="Arial" w:hAnsi="Arial" w:cs="Arial"/>
          <w:b/>
          <w:bCs/>
          <w:snapToGrid w:val="0"/>
          <w:sz w:val="20"/>
          <w:szCs w:val="20"/>
          <w:lang w:eastAsia="en-US"/>
        </w:rPr>
      </w:pPr>
    </w:p>
    <w:p w:rsidR="00B80195" w:rsidRPr="0087024F" w:rsidRDefault="00B80195" w:rsidP="00B80195">
      <w:pPr>
        <w:tabs>
          <w:tab w:val="left" w:pos="567"/>
        </w:tabs>
        <w:ind w:left="567"/>
        <w:jc w:val="both"/>
        <w:rPr>
          <w:rFonts w:ascii="Arial" w:hAnsi="Arial" w:cs="Arial"/>
          <w:sz w:val="20"/>
          <w:szCs w:val="20"/>
          <w:u w:val="single"/>
        </w:rPr>
      </w:pPr>
      <w:r w:rsidRPr="0050759F">
        <w:rPr>
          <w:rFonts w:ascii="Arial" w:hAnsi="Arial" w:cs="Arial"/>
          <w:sz w:val="20"/>
          <w:szCs w:val="20"/>
        </w:rPr>
        <w:t>Los instrumentos financieros activos y pasivos financieros y derivados se clasifican de acuerdo con las características y la finalidad de cada instrumento financiero, tal como lo requiere</w:t>
      </w:r>
      <w:r>
        <w:rPr>
          <w:rFonts w:ascii="Arial" w:hAnsi="Arial" w:cs="Arial"/>
          <w:sz w:val="20"/>
          <w:szCs w:val="20"/>
        </w:rPr>
        <w:t xml:space="preserve"> la Sección 11 de las </w:t>
      </w:r>
      <w:proofErr w:type="spellStart"/>
      <w:r>
        <w:rPr>
          <w:rFonts w:ascii="Arial" w:hAnsi="Arial" w:cs="Arial"/>
          <w:sz w:val="20"/>
          <w:szCs w:val="20"/>
        </w:rPr>
        <w:t>NIIFs</w:t>
      </w:r>
      <w:proofErr w:type="spellEnd"/>
      <w:r>
        <w:rPr>
          <w:rFonts w:ascii="Arial" w:hAnsi="Arial" w:cs="Arial"/>
          <w:sz w:val="20"/>
          <w:szCs w:val="20"/>
        </w:rPr>
        <w:t xml:space="preserve"> PYMES</w:t>
      </w:r>
      <w:r w:rsidRPr="0050759F">
        <w:rPr>
          <w:rFonts w:ascii="Arial" w:hAnsi="Arial" w:cs="Arial"/>
          <w:sz w:val="20"/>
          <w:szCs w:val="20"/>
        </w:rPr>
        <w:t xml:space="preserve">. La clasificación depende del propósito para el cual se adquirieron los activos o contrataron los pasivos y la cual </w:t>
      </w:r>
      <w:r w:rsidRPr="0087024F">
        <w:rPr>
          <w:rFonts w:ascii="Arial" w:hAnsi="Arial" w:cs="Arial"/>
          <w:sz w:val="20"/>
          <w:szCs w:val="20"/>
        </w:rPr>
        <w:t>se determina a la fecha de su reconocimiento inicial.</w:t>
      </w:r>
    </w:p>
    <w:p w:rsidR="00B80195" w:rsidRPr="0087024F" w:rsidRDefault="00B80195" w:rsidP="00B80195">
      <w:pPr>
        <w:ind w:left="567"/>
        <w:jc w:val="both"/>
        <w:rPr>
          <w:rFonts w:ascii="Arial" w:hAnsi="Arial" w:cs="Arial"/>
          <w:bCs/>
          <w:snapToGrid w:val="0"/>
          <w:sz w:val="20"/>
          <w:szCs w:val="20"/>
          <w:lang w:eastAsia="en-US"/>
        </w:rPr>
      </w:pPr>
    </w:p>
    <w:p w:rsidR="00B80195" w:rsidRPr="00327BEB" w:rsidRDefault="00B80195" w:rsidP="00B80195">
      <w:pPr>
        <w:ind w:left="567"/>
        <w:jc w:val="both"/>
        <w:rPr>
          <w:rFonts w:ascii="Arial" w:hAnsi="Arial" w:cs="Arial"/>
          <w:b/>
          <w:sz w:val="20"/>
          <w:szCs w:val="20"/>
          <w:u w:val="single"/>
          <w:lang w:val="es-EC" w:eastAsia="es-EC"/>
        </w:rPr>
      </w:pPr>
      <w:r w:rsidRPr="00E82995">
        <w:rPr>
          <w:rFonts w:ascii="Arial" w:hAnsi="Arial" w:cs="Arial"/>
          <w:b/>
          <w:sz w:val="20"/>
          <w:szCs w:val="20"/>
          <w:u w:val="single"/>
          <w:lang w:val="es-EC" w:eastAsia="es-EC"/>
        </w:rPr>
        <w:t>Activos financieros</w:t>
      </w:r>
    </w:p>
    <w:p w:rsidR="00B80195" w:rsidRPr="00312F98" w:rsidRDefault="00B80195" w:rsidP="00B80195">
      <w:pPr>
        <w:jc w:val="both"/>
        <w:rPr>
          <w:rFonts w:ascii="Arial" w:hAnsi="Arial" w:cs="Arial"/>
          <w:sz w:val="20"/>
          <w:szCs w:val="20"/>
          <w:lang w:val="es-EC" w:eastAsia="es-EC"/>
        </w:rPr>
      </w:pPr>
    </w:p>
    <w:p w:rsidR="00B80195" w:rsidRPr="00312F98" w:rsidRDefault="00B80195" w:rsidP="00B80195">
      <w:pPr>
        <w:ind w:left="567"/>
        <w:jc w:val="both"/>
        <w:rPr>
          <w:rFonts w:ascii="Arial" w:hAnsi="Arial" w:cs="Arial"/>
          <w:b/>
          <w:sz w:val="20"/>
          <w:szCs w:val="20"/>
          <w:lang w:val="es-EC" w:eastAsia="es-EC"/>
        </w:rPr>
      </w:pPr>
      <w:r w:rsidRPr="00312F98">
        <w:rPr>
          <w:rFonts w:ascii="Arial" w:hAnsi="Arial" w:cs="Arial"/>
          <w:b/>
          <w:sz w:val="20"/>
          <w:szCs w:val="20"/>
          <w:lang w:val="es-EC" w:eastAsia="es-EC"/>
        </w:rPr>
        <w:t>Medición inicial</w:t>
      </w:r>
    </w:p>
    <w:p w:rsidR="00B80195" w:rsidRPr="00312F98" w:rsidRDefault="00B80195" w:rsidP="00B80195">
      <w:pPr>
        <w:ind w:left="567"/>
        <w:jc w:val="both"/>
        <w:rPr>
          <w:rFonts w:ascii="Arial" w:hAnsi="Arial" w:cs="Arial"/>
          <w:sz w:val="20"/>
          <w:szCs w:val="20"/>
          <w:lang w:val="es-EC" w:eastAsia="es-EC"/>
        </w:rPr>
      </w:pPr>
    </w:p>
    <w:p w:rsidR="00B80195" w:rsidRPr="009561C2" w:rsidRDefault="00B80195" w:rsidP="00B80195">
      <w:pPr>
        <w:ind w:left="567"/>
        <w:jc w:val="both"/>
        <w:rPr>
          <w:rFonts w:ascii="Arial" w:hAnsi="Arial" w:cs="Arial"/>
          <w:sz w:val="20"/>
          <w:szCs w:val="20"/>
          <w:lang w:val="es-EC" w:eastAsia="es-EC"/>
        </w:rPr>
      </w:pPr>
      <w:r w:rsidRPr="009561C2">
        <w:rPr>
          <w:rFonts w:ascii="Arial" w:hAnsi="Arial" w:cs="Arial"/>
          <w:sz w:val="20"/>
          <w:szCs w:val="20"/>
          <w:lang w:val="es-EC" w:eastAsia="es-EC"/>
        </w:rPr>
        <w:t>Los activos financieros constituyen instrumentos que generan flujo de efectivo para la Compañía, de acuerdo con sus actividades o por la compra de estos instrumentos.</w:t>
      </w:r>
    </w:p>
    <w:p w:rsidR="00B80195" w:rsidRPr="009561C2" w:rsidRDefault="00B80195" w:rsidP="00B80195">
      <w:pPr>
        <w:ind w:left="567"/>
        <w:jc w:val="both"/>
        <w:rPr>
          <w:rFonts w:ascii="Arial" w:hAnsi="Arial" w:cs="Arial"/>
          <w:sz w:val="20"/>
          <w:szCs w:val="20"/>
          <w:lang w:val="es-EC" w:eastAsia="es-EC"/>
        </w:rPr>
      </w:pPr>
    </w:p>
    <w:p w:rsidR="00B80195" w:rsidRPr="009561C2" w:rsidRDefault="00B80195" w:rsidP="00B80195">
      <w:pPr>
        <w:ind w:left="567"/>
        <w:jc w:val="both"/>
        <w:rPr>
          <w:rFonts w:ascii="Arial" w:hAnsi="Arial" w:cs="Arial"/>
          <w:sz w:val="20"/>
          <w:szCs w:val="20"/>
          <w:lang w:val="es-EC" w:eastAsia="es-EC"/>
        </w:rPr>
      </w:pPr>
      <w:r w:rsidRPr="009561C2">
        <w:rPr>
          <w:rFonts w:ascii="Arial" w:hAnsi="Arial" w:cs="Arial"/>
          <w:sz w:val="20"/>
          <w:szCs w:val="20"/>
          <w:lang w:val="es-EC" w:eastAsia="es-EC"/>
        </w:rPr>
        <w:t>Los activos financieros inicialmente se registran generalmente al costo de adquisición más cualquier costo imputable a la transacción y que deba ser reconocido como parte del acti</w:t>
      </w:r>
      <w:r>
        <w:rPr>
          <w:rFonts w:ascii="Arial" w:hAnsi="Arial" w:cs="Arial"/>
          <w:sz w:val="20"/>
          <w:szCs w:val="20"/>
          <w:lang w:val="es-EC" w:eastAsia="es-EC"/>
        </w:rPr>
        <w:t xml:space="preserve">vo y se </w:t>
      </w:r>
      <w:r w:rsidRPr="006278CF">
        <w:rPr>
          <w:rFonts w:ascii="Arial" w:hAnsi="Arial" w:cs="Arial"/>
          <w:sz w:val="20"/>
          <w:szCs w:val="20"/>
          <w:lang w:val="es-EC" w:eastAsia="es-EC"/>
        </w:rPr>
        <w:t>registran como activos - valor razonable. La diferencia entre el costo de adquisición y el valor raz</w:t>
      </w:r>
      <w:r>
        <w:rPr>
          <w:rFonts w:ascii="Arial" w:hAnsi="Arial" w:cs="Arial"/>
          <w:sz w:val="20"/>
          <w:szCs w:val="20"/>
          <w:lang w:val="es-EC" w:eastAsia="es-EC"/>
        </w:rPr>
        <w:t>onable se reconoce se reconoce</w:t>
      </w:r>
      <w:r w:rsidRPr="006278CF">
        <w:rPr>
          <w:rFonts w:ascii="Arial" w:hAnsi="Arial" w:cs="Arial"/>
          <w:sz w:val="20"/>
          <w:szCs w:val="20"/>
          <w:lang w:val="es-EC" w:eastAsia="es-EC"/>
        </w:rPr>
        <w:t xml:space="preserve"> como</w:t>
      </w:r>
      <w:r w:rsidRPr="009561C2">
        <w:rPr>
          <w:rFonts w:ascii="Arial" w:hAnsi="Arial" w:cs="Arial"/>
          <w:sz w:val="20"/>
          <w:szCs w:val="20"/>
          <w:lang w:val="es-EC" w:eastAsia="es-EC"/>
        </w:rPr>
        <w:t xml:space="preserve"> ganancia o pérdida únicamente en los casos de que el valor razonable sea de un mercado activo confiable.</w:t>
      </w:r>
    </w:p>
    <w:p w:rsidR="00B80195" w:rsidRPr="009561C2" w:rsidRDefault="00B80195" w:rsidP="00B80195">
      <w:pPr>
        <w:spacing w:line="276" w:lineRule="auto"/>
        <w:ind w:left="567"/>
        <w:jc w:val="both"/>
        <w:rPr>
          <w:rFonts w:ascii="Arial" w:hAnsi="Arial" w:cs="Arial"/>
          <w:sz w:val="20"/>
          <w:szCs w:val="20"/>
          <w:lang w:val="es-EC" w:eastAsia="es-EC"/>
        </w:rPr>
      </w:pPr>
    </w:p>
    <w:p w:rsidR="00B80195" w:rsidRPr="009561C2" w:rsidRDefault="00B80195" w:rsidP="00B80195">
      <w:pPr>
        <w:ind w:left="567"/>
        <w:jc w:val="both"/>
        <w:rPr>
          <w:rFonts w:ascii="Arial" w:hAnsi="Arial" w:cs="Arial"/>
          <w:b/>
          <w:bCs/>
          <w:snapToGrid w:val="0"/>
          <w:sz w:val="20"/>
          <w:szCs w:val="20"/>
          <w:lang w:val="es-EC" w:eastAsia="en-US"/>
        </w:rPr>
      </w:pPr>
      <w:r w:rsidRPr="009561C2">
        <w:rPr>
          <w:rFonts w:ascii="Arial" w:hAnsi="Arial" w:cs="Arial"/>
          <w:sz w:val="20"/>
          <w:szCs w:val="20"/>
          <w:lang w:val="es-EC" w:eastAsia="es-EC"/>
        </w:rPr>
        <w:t xml:space="preserve">El principal activo financiero de la Compañía constituye los deudores comerciales generados por las transacciones que realiza en el curso normal de sus operaciones y otras cuentas por cobrar, los cuales constituyen pagos fijos y determinables y no tienen una </w:t>
      </w:r>
      <w:r>
        <w:rPr>
          <w:rFonts w:ascii="Arial" w:hAnsi="Arial" w:cs="Arial"/>
          <w:sz w:val="20"/>
          <w:szCs w:val="20"/>
          <w:lang w:val="es-EC" w:eastAsia="es-EC"/>
        </w:rPr>
        <w:t xml:space="preserve">cotización de mercado bursátil. </w:t>
      </w:r>
    </w:p>
    <w:p w:rsidR="00B80195" w:rsidRDefault="00B80195" w:rsidP="00B80195">
      <w:pPr>
        <w:tabs>
          <w:tab w:val="left" w:pos="1134"/>
        </w:tabs>
        <w:ind w:left="567"/>
        <w:jc w:val="both"/>
        <w:rPr>
          <w:rFonts w:ascii="Arial" w:hAnsi="Arial" w:cs="Arial"/>
          <w:sz w:val="20"/>
          <w:szCs w:val="20"/>
          <w:lang w:val="es-EC"/>
        </w:rPr>
      </w:pPr>
    </w:p>
    <w:p w:rsidR="00B80195" w:rsidRPr="00312F98" w:rsidRDefault="00B80195" w:rsidP="00B80195">
      <w:pPr>
        <w:tabs>
          <w:tab w:val="left" w:pos="567"/>
        </w:tabs>
        <w:ind w:left="567"/>
        <w:jc w:val="both"/>
        <w:rPr>
          <w:rFonts w:ascii="Arial" w:hAnsi="Arial" w:cs="Arial"/>
          <w:b/>
          <w:sz w:val="20"/>
          <w:szCs w:val="20"/>
        </w:rPr>
      </w:pPr>
      <w:r w:rsidRPr="00312F98">
        <w:rPr>
          <w:rFonts w:ascii="Arial" w:hAnsi="Arial" w:cs="Arial"/>
          <w:b/>
          <w:sz w:val="20"/>
          <w:szCs w:val="20"/>
        </w:rPr>
        <w:t>Medición posterior</w:t>
      </w:r>
    </w:p>
    <w:p w:rsidR="00B80195" w:rsidRPr="00312F98" w:rsidRDefault="00B80195" w:rsidP="00B80195">
      <w:pPr>
        <w:tabs>
          <w:tab w:val="left" w:pos="567"/>
        </w:tabs>
        <w:ind w:left="567"/>
        <w:jc w:val="both"/>
        <w:rPr>
          <w:rFonts w:ascii="Arial" w:hAnsi="Arial" w:cs="Arial"/>
          <w:sz w:val="20"/>
          <w:szCs w:val="20"/>
        </w:rPr>
      </w:pPr>
    </w:p>
    <w:p w:rsidR="00B80195" w:rsidRPr="009561C2" w:rsidRDefault="00B80195" w:rsidP="00B80195">
      <w:pPr>
        <w:ind w:left="567"/>
        <w:jc w:val="both"/>
        <w:rPr>
          <w:rFonts w:ascii="Arial" w:hAnsi="Arial" w:cs="Arial"/>
          <w:sz w:val="20"/>
          <w:szCs w:val="20"/>
        </w:rPr>
      </w:pPr>
      <w:r w:rsidRPr="009561C2">
        <w:rPr>
          <w:rFonts w:ascii="Arial" w:hAnsi="Arial" w:cs="Arial"/>
          <w:sz w:val="20"/>
          <w:szCs w:val="20"/>
        </w:rPr>
        <w:t>Los activos financieros posteriormente a su medición inicial se clasifican de acuerdo con su modelo de negocio y a las características contractuales del flujo de efectivo de los activos fina</w:t>
      </w:r>
      <w:r>
        <w:rPr>
          <w:rFonts w:ascii="Arial" w:hAnsi="Arial" w:cs="Arial"/>
          <w:sz w:val="20"/>
          <w:szCs w:val="20"/>
        </w:rPr>
        <w:t xml:space="preserve">ncieros y de acuerdo a la sección 11 de la </w:t>
      </w:r>
      <w:proofErr w:type="spellStart"/>
      <w:r>
        <w:rPr>
          <w:rFonts w:ascii="Arial" w:hAnsi="Arial" w:cs="Arial"/>
          <w:sz w:val="20"/>
          <w:szCs w:val="20"/>
        </w:rPr>
        <w:t>NIIFs</w:t>
      </w:r>
      <w:proofErr w:type="spellEnd"/>
      <w:r>
        <w:rPr>
          <w:rFonts w:ascii="Arial" w:hAnsi="Arial" w:cs="Arial"/>
          <w:sz w:val="20"/>
          <w:szCs w:val="20"/>
        </w:rPr>
        <w:t xml:space="preserve"> PYMES</w:t>
      </w:r>
      <w:r w:rsidRPr="009561C2">
        <w:rPr>
          <w:rFonts w:ascii="Arial" w:hAnsi="Arial" w:cs="Arial"/>
          <w:sz w:val="20"/>
          <w:szCs w:val="20"/>
        </w:rPr>
        <w:t xml:space="preserve"> y los clasifica en: (i) costo amortizado</w:t>
      </w:r>
      <w:r>
        <w:rPr>
          <w:rFonts w:ascii="Arial" w:hAnsi="Arial" w:cs="Arial"/>
          <w:sz w:val="20"/>
          <w:szCs w:val="20"/>
        </w:rPr>
        <w:t>; y, (ii</w:t>
      </w:r>
      <w:r w:rsidRPr="009561C2">
        <w:rPr>
          <w:rFonts w:ascii="Arial" w:hAnsi="Arial" w:cs="Arial"/>
          <w:sz w:val="20"/>
          <w:szCs w:val="20"/>
        </w:rPr>
        <w:t>) valor razonable con cambios en pérdidas y ganancias.</w:t>
      </w:r>
    </w:p>
    <w:p w:rsidR="00B80195" w:rsidRDefault="00B80195" w:rsidP="00B80195">
      <w:pPr>
        <w:ind w:left="567"/>
        <w:jc w:val="both"/>
        <w:rPr>
          <w:rFonts w:ascii="Arial" w:hAnsi="Arial" w:cs="Arial"/>
          <w:sz w:val="20"/>
          <w:szCs w:val="20"/>
        </w:rPr>
      </w:pPr>
    </w:p>
    <w:p w:rsidR="00B80195" w:rsidRDefault="00B80195" w:rsidP="00B80195">
      <w:pPr>
        <w:ind w:left="567"/>
        <w:jc w:val="both"/>
        <w:rPr>
          <w:rFonts w:ascii="Arial" w:hAnsi="Arial" w:cs="Arial"/>
          <w:sz w:val="20"/>
          <w:szCs w:val="20"/>
        </w:rPr>
      </w:pPr>
      <w:r w:rsidRPr="009561C2">
        <w:rPr>
          <w:rFonts w:ascii="Arial" w:hAnsi="Arial" w:cs="Arial"/>
          <w:sz w:val="20"/>
          <w:szCs w:val="20"/>
        </w:rPr>
        <w:t>Los activos financieros se registran como se describe a continuación:</w:t>
      </w:r>
    </w:p>
    <w:p w:rsidR="00B80195" w:rsidRDefault="00B80195" w:rsidP="00B80195">
      <w:pPr>
        <w:tabs>
          <w:tab w:val="left" w:pos="567"/>
          <w:tab w:val="left" w:pos="1701"/>
        </w:tabs>
        <w:jc w:val="both"/>
        <w:rPr>
          <w:rFonts w:ascii="Arial" w:hAnsi="Arial" w:cs="Arial"/>
          <w:sz w:val="20"/>
          <w:szCs w:val="20"/>
          <w:lang w:eastAsia="es-EC"/>
        </w:rPr>
      </w:pPr>
    </w:p>
    <w:p w:rsidR="00E47673" w:rsidRDefault="00E47673" w:rsidP="00B80195">
      <w:pPr>
        <w:tabs>
          <w:tab w:val="left" w:pos="567"/>
          <w:tab w:val="left" w:pos="1701"/>
        </w:tabs>
        <w:jc w:val="both"/>
        <w:rPr>
          <w:rFonts w:ascii="Arial" w:hAnsi="Arial" w:cs="Arial"/>
          <w:sz w:val="20"/>
          <w:szCs w:val="20"/>
          <w:lang w:eastAsia="es-EC"/>
        </w:rPr>
      </w:pPr>
    </w:p>
    <w:p w:rsidR="00B80195" w:rsidRPr="0061256C" w:rsidRDefault="00B80195" w:rsidP="00161D0E">
      <w:pPr>
        <w:numPr>
          <w:ilvl w:val="0"/>
          <w:numId w:val="24"/>
        </w:numPr>
        <w:autoSpaceDE w:val="0"/>
        <w:autoSpaceDN w:val="0"/>
        <w:adjustRightInd w:val="0"/>
        <w:ind w:left="1134"/>
        <w:rPr>
          <w:rFonts w:ascii="Arial" w:hAnsi="Arial" w:cs="Arial"/>
          <w:b/>
          <w:bCs/>
          <w:sz w:val="20"/>
          <w:szCs w:val="20"/>
          <w:lang w:val="es-EC" w:eastAsia="es-EC"/>
        </w:rPr>
      </w:pPr>
      <w:r w:rsidRPr="0061256C">
        <w:rPr>
          <w:rFonts w:ascii="Arial" w:hAnsi="Arial" w:cs="Arial"/>
          <w:b/>
          <w:bCs/>
          <w:sz w:val="20"/>
          <w:szCs w:val="20"/>
          <w:lang w:val="es-EC" w:eastAsia="es-EC"/>
        </w:rPr>
        <w:lastRenderedPageBreak/>
        <w:t>Costo amortizado</w:t>
      </w:r>
    </w:p>
    <w:p w:rsidR="00B80195" w:rsidRPr="0061256C" w:rsidRDefault="00B80195" w:rsidP="00B80195">
      <w:pPr>
        <w:autoSpaceDE w:val="0"/>
        <w:autoSpaceDN w:val="0"/>
        <w:adjustRightInd w:val="0"/>
        <w:ind w:left="1134"/>
        <w:rPr>
          <w:rFonts w:ascii="Arial" w:hAnsi="Arial" w:cs="Arial"/>
          <w:b/>
          <w:bCs/>
          <w:sz w:val="20"/>
          <w:szCs w:val="20"/>
          <w:lang w:val="es-EC" w:eastAsia="es-EC"/>
        </w:rPr>
      </w:pPr>
    </w:p>
    <w:p w:rsidR="00B80195" w:rsidRPr="0061256C" w:rsidRDefault="00B80195" w:rsidP="00B80195">
      <w:pPr>
        <w:autoSpaceDE w:val="0"/>
        <w:autoSpaceDN w:val="0"/>
        <w:adjustRightInd w:val="0"/>
        <w:ind w:left="1134"/>
        <w:jc w:val="both"/>
        <w:rPr>
          <w:rFonts w:ascii="Arial" w:hAnsi="Arial" w:cs="Arial"/>
          <w:bCs/>
          <w:sz w:val="20"/>
          <w:szCs w:val="20"/>
          <w:lang w:val="es-EC" w:eastAsia="es-EC"/>
        </w:rPr>
      </w:pPr>
      <w:r w:rsidRPr="0061256C">
        <w:rPr>
          <w:rFonts w:ascii="Arial" w:hAnsi="Arial" w:cs="Arial"/>
          <w:bCs/>
          <w:sz w:val="20"/>
          <w:szCs w:val="20"/>
          <w:lang w:val="es-EC" w:eastAsia="es-EC"/>
        </w:rPr>
        <w:t>Los activos financieros – deudores comerciales y las otras cuentas por cobrar no comerciales que cumplen con las características de un instrumento financiero se registran a costo amortizado; cuando sus plazos son mayores a los 90 días y no incluyen ninguna tasa de interés o cuando existen tasas de interés efectiva.</w:t>
      </w:r>
    </w:p>
    <w:p w:rsidR="00B80195" w:rsidRPr="0061256C" w:rsidRDefault="00B80195" w:rsidP="00B80195">
      <w:pPr>
        <w:autoSpaceDE w:val="0"/>
        <w:autoSpaceDN w:val="0"/>
        <w:adjustRightInd w:val="0"/>
        <w:ind w:left="1134"/>
        <w:rPr>
          <w:rFonts w:ascii="Arial" w:hAnsi="Arial" w:cs="Arial"/>
          <w:bCs/>
          <w:sz w:val="20"/>
          <w:szCs w:val="20"/>
          <w:lang w:val="es-EC" w:eastAsia="es-EC"/>
        </w:rPr>
      </w:pPr>
      <w:r w:rsidRPr="0061256C">
        <w:rPr>
          <w:rFonts w:ascii="Arial" w:hAnsi="Arial" w:cs="Arial"/>
          <w:bCs/>
          <w:sz w:val="20"/>
          <w:szCs w:val="20"/>
          <w:lang w:val="es-EC" w:eastAsia="es-EC"/>
        </w:rPr>
        <w:t>Los saldos de las cuentas por cobrar cuyo plazo contractual de cobro hasta de un año menos se clasifican como activos no corrientes.</w:t>
      </w:r>
    </w:p>
    <w:p w:rsidR="00B80195" w:rsidRPr="0061256C" w:rsidRDefault="00B80195" w:rsidP="00B80195">
      <w:pPr>
        <w:autoSpaceDE w:val="0"/>
        <w:autoSpaceDN w:val="0"/>
        <w:adjustRightInd w:val="0"/>
        <w:ind w:left="1134"/>
        <w:rPr>
          <w:rFonts w:ascii="Arial" w:hAnsi="Arial" w:cs="Arial"/>
          <w:bCs/>
          <w:sz w:val="20"/>
          <w:szCs w:val="20"/>
          <w:lang w:val="es-EC" w:eastAsia="es-EC"/>
        </w:rPr>
      </w:pPr>
    </w:p>
    <w:p w:rsidR="00B80195" w:rsidRDefault="00B80195" w:rsidP="00B80195">
      <w:pPr>
        <w:autoSpaceDE w:val="0"/>
        <w:autoSpaceDN w:val="0"/>
        <w:adjustRightInd w:val="0"/>
        <w:ind w:left="1134"/>
        <w:jc w:val="both"/>
        <w:rPr>
          <w:rFonts w:ascii="Arial" w:hAnsi="Arial" w:cs="Arial"/>
          <w:bCs/>
          <w:sz w:val="20"/>
          <w:szCs w:val="20"/>
          <w:lang w:val="es-EC" w:eastAsia="es-EC"/>
        </w:rPr>
      </w:pPr>
      <w:r w:rsidRPr="0061256C">
        <w:rPr>
          <w:rFonts w:ascii="Arial" w:hAnsi="Arial" w:cs="Arial"/>
          <w:bCs/>
          <w:sz w:val="20"/>
          <w:szCs w:val="20"/>
          <w:lang w:val="es-EC" w:eastAsia="es-EC"/>
        </w:rPr>
        <w:t xml:space="preserve">El cálculo del interés implícito se efectúa en base a la tasa de interés de los pasivos por financiamiento de la compañía o el publicado por el Banco Central del Ecuador en sus boletines oficiales para préstamos otorgados por el sistema financiero </w:t>
      </w:r>
      <w:proofErr w:type="gramStart"/>
      <w:r w:rsidRPr="0061256C">
        <w:rPr>
          <w:rFonts w:ascii="Arial" w:hAnsi="Arial" w:cs="Arial"/>
          <w:bCs/>
          <w:sz w:val="20"/>
          <w:szCs w:val="20"/>
          <w:lang w:val="es-EC" w:eastAsia="es-EC"/>
        </w:rPr>
        <w:t>Ecuatoriano</w:t>
      </w:r>
      <w:proofErr w:type="gramEnd"/>
      <w:r w:rsidRPr="0061256C">
        <w:rPr>
          <w:rFonts w:ascii="Arial" w:hAnsi="Arial" w:cs="Arial"/>
          <w:bCs/>
          <w:sz w:val="20"/>
          <w:szCs w:val="20"/>
          <w:lang w:val="es-EC" w:eastAsia="es-EC"/>
        </w:rPr>
        <w:t>.</w:t>
      </w:r>
    </w:p>
    <w:p w:rsidR="00D22974" w:rsidRPr="0061256C" w:rsidRDefault="00D22974" w:rsidP="00B80195">
      <w:pPr>
        <w:autoSpaceDE w:val="0"/>
        <w:autoSpaceDN w:val="0"/>
        <w:adjustRightInd w:val="0"/>
        <w:ind w:left="1134"/>
        <w:jc w:val="both"/>
        <w:rPr>
          <w:rFonts w:ascii="Arial" w:hAnsi="Arial" w:cs="Arial"/>
          <w:bCs/>
          <w:sz w:val="20"/>
          <w:szCs w:val="20"/>
          <w:lang w:val="es-EC" w:eastAsia="es-EC"/>
        </w:rPr>
      </w:pPr>
    </w:p>
    <w:p w:rsidR="00B80195" w:rsidRPr="0061256C" w:rsidRDefault="00B80195" w:rsidP="00161D0E">
      <w:pPr>
        <w:numPr>
          <w:ilvl w:val="0"/>
          <w:numId w:val="24"/>
        </w:numPr>
        <w:autoSpaceDE w:val="0"/>
        <w:autoSpaceDN w:val="0"/>
        <w:adjustRightInd w:val="0"/>
        <w:ind w:left="1134"/>
        <w:rPr>
          <w:rFonts w:ascii="Arial" w:hAnsi="Arial" w:cs="Arial"/>
          <w:b/>
          <w:bCs/>
          <w:sz w:val="20"/>
          <w:szCs w:val="20"/>
          <w:lang w:val="es-EC" w:eastAsia="es-EC"/>
        </w:rPr>
      </w:pPr>
      <w:r w:rsidRPr="0061256C">
        <w:rPr>
          <w:rFonts w:ascii="Arial" w:hAnsi="Arial" w:cs="Arial"/>
          <w:b/>
          <w:bCs/>
          <w:sz w:val="20"/>
          <w:szCs w:val="20"/>
          <w:lang w:val="es-EC" w:eastAsia="es-EC"/>
        </w:rPr>
        <w:t>Valor razonable con cambios en  Otros Resultados Integrales “ORI”</w:t>
      </w:r>
    </w:p>
    <w:p w:rsidR="00B80195" w:rsidRPr="0061256C" w:rsidRDefault="00B80195" w:rsidP="00B80195">
      <w:pPr>
        <w:autoSpaceDE w:val="0"/>
        <w:autoSpaceDN w:val="0"/>
        <w:adjustRightInd w:val="0"/>
        <w:ind w:left="1134"/>
        <w:rPr>
          <w:rFonts w:ascii="Arial" w:hAnsi="Arial" w:cs="Arial"/>
          <w:b/>
          <w:bCs/>
          <w:sz w:val="20"/>
          <w:szCs w:val="20"/>
          <w:lang w:val="es-EC" w:eastAsia="es-EC"/>
        </w:rPr>
      </w:pPr>
    </w:p>
    <w:p w:rsidR="00B80195" w:rsidRPr="0061256C" w:rsidRDefault="00B80195" w:rsidP="00B80195">
      <w:pPr>
        <w:tabs>
          <w:tab w:val="left" w:pos="1134"/>
        </w:tabs>
        <w:ind w:left="1134"/>
        <w:jc w:val="both"/>
        <w:rPr>
          <w:rFonts w:ascii="Arial" w:hAnsi="Arial" w:cs="Arial"/>
          <w:sz w:val="20"/>
          <w:szCs w:val="20"/>
        </w:rPr>
      </w:pPr>
      <w:r w:rsidRPr="0061256C">
        <w:rPr>
          <w:rFonts w:ascii="Arial" w:hAnsi="Arial" w:cs="Arial"/>
          <w:bCs/>
          <w:sz w:val="20"/>
          <w:szCs w:val="20"/>
          <w:lang w:val="es-EC" w:eastAsia="es-EC"/>
        </w:rPr>
        <w:t xml:space="preserve">Los activos financieros con cambios en el “ORI” principalmente constituyen instrumentos financieros </w:t>
      </w:r>
      <w:proofErr w:type="gramStart"/>
      <w:r w:rsidRPr="0061256C">
        <w:rPr>
          <w:rFonts w:ascii="Arial" w:hAnsi="Arial" w:cs="Arial"/>
          <w:bCs/>
          <w:sz w:val="20"/>
          <w:szCs w:val="20"/>
          <w:lang w:val="es-EC" w:eastAsia="es-EC"/>
        </w:rPr>
        <w:t>comerciales  y</w:t>
      </w:r>
      <w:proofErr w:type="gramEnd"/>
      <w:r w:rsidRPr="0061256C">
        <w:rPr>
          <w:rFonts w:ascii="Arial" w:hAnsi="Arial" w:cs="Arial"/>
          <w:bCs/>
          <w:sz w:val="20"/>
          <w:szCs w:val="20"/>
          <w:lang w:val="es-EC" w:eastAsia="es-EC"/>
        </w:rPr>
        <w:t xml:space="preserve"> de patrimonio cuya intención y capacidad  financiera es la de mantenerlos hasta que finalicen su vencimiento y </w:t>
      </w:r>
      <w:r w:rsidRPr="0061256C">
        <w:rPr>
          <w:rFonts w:ascii="Arial" w:hAnsi="Arial" w:cs="Arial"/>
          <w:sz w:val="20"/>
          <w:szCs w:val="20"/>
        </w:rPr>
        <w:t>sus flujos de efectivo corresponden a la recuperación del capital y sus intereses. Estos instrumentos se ajustan al valor razonable y su efecto se reconoce en el patrimonio como parte del “ORI” hasta su realización o venta, excepto cuando existe un deterioro permanente.</w:t>
      </w:r>
      <w:r w:rsidRPr="0061256C">
        <w:rPr>
          <w:rFonts w:ascii="Arial" w:hAnsi="Arial" w:cs="Arial"/>
          <w:bCs/>
          <w:sz w:val="20"/>
          <w:szCs w:val="20"/>
          <w:lang w:val="es-EC" w:eastAsia="es-EC"/>
        </w:rPr>
        <w:t xml:space="preserve">  </w:t>
      </w:r>
    </w:p>
    <w:p w:rsidR="00B80195" w:rsidRPr="0061256C" w:rsidRDefault="00B80195" w:rsidP="00B80195">
      <w:pPr>
        <w:autoSpaceDE w:val="0"/>
        <w:autoSpaceDN w:val="0"/>
        <w:adjustRightInd w:val="0"/>
        <w:ind w:left="1134"/>
        <w:rPr>
          <w:rFonts w:ascii="Arial" w:hAnsi="Arial" w:cs="Arial"/>
          <w:b/>
          <w:bCs/>
          <w:sz w:val="20"/>
          <w:szCs w:val="20"/>
          <w:lang w:val="es-EC" w:eastAsia="es-EC"/>
        </w:rPr>
      </w:pPr>
    </w:p>
    <w:p w:rsidR="00B80195" w:rsidRPr="0061256C" w:rsidRDefault="00B80195" w:rsidP="00161D0E">
      <w:pPr>
        <w:numPr>
          <w:ilvl w:val="0"/>
          <w:numId w:val="24"/>
        </w:numPr>
        <w:autoSpaceDE w:val="0"/>
        <w:autoSpaceDN w:val="0"/>
        <w:adjustRightInd w:val="0"/>
        <w:ind w:left="1134"/>
        <w:rPr>
          <w:rFonts w:ascii="Arial" w:hAnsi="Arial" w:cs="Arial"/>
          <w:b/>
          <w:bCs/>
          <w:sz w:val="20"/>
          <w:szCs w:val="20"/>
          <w:lang w:val="es-EC" w:eastAsia="es-EC"/>
        </w:rPr>
      </w:pPr>
      <w:r w:rsidRPr="0061256C">
        <w:rPr>
          <w:rFonts w:ascii="Arial" w:hAnsi="Arial" w:cs="Arial"/>
          <w:b/>
          <w:bCs/>
          <w:sz w:val="20"/>
          <w:szCs w:val="20"/>
          <w:lang w:val="es-EC" w:eastAsia="es-EC"/>
        </w:rPr>
        <w:t>Valor razonable con cambios en los resultados</w:t>
      </w:r>
    </w:p>
    <w:p w:rsidR="00B80195" w:rsidRPr="0061256C" w:rsidRDefault="00B80195" w:rsidP="00B80195">
      <w:pPr>
        <w:autoSpaceDE w:val="0"/>
        <w:autoSpaceDN w:val="0"/>
        <w:adjustRightInd w:val="0"/>
        <w:ind w:left="1134"/>
        <w:rPr>
          <w:rFonts w:ascii="Arial" w:hAnsi="Arial" w:cs="Arial"/>
          <w:bCs/>
          <w:sz w:val="20"/>
          <w:szCs w:val="20"/>
          <w:u w:val="single"/>
          <w:lang w:val="es-EC" w:eastAsia="es-EC"/>
        </w:rPr>
      </w:pPr>
    </w:p>
    <w:p w:rsidR="00B80195" w:rsidRPr="0061256C" w:rsidRDefault="00B80195" w:rsidP="00B80195">
      <w:pPr>
        <w:autoSpaceDE w:val="0"/>
        <w:autoSpaceDN w:val="0"/>
        <w:adjustRightInd w:val="0"/>
        <w:ind w:left="1134"/>
        <w:jc w:val="both"/>
        <w:rPr>
          <w:rFonts w:ascii="Arial" w:hAnsi="Arial" w:cs="Arial"/>
          <w:bCs/>
          <w:sz w:val="20"/>
          <w:szCs w:val="20"/>
          <w:lang w:val="es-EC" w:eastAsia="es-EC"/>
        </w:rPr>
      </w:pPr>
      <w:r w:rsidRPr="0061256C">
        <w:rPr>
          <w:rFonts w:ascii="Arial" w:hAnsi="Arial" w:cs="Arial"/>
          <w:bCs/>
          <w:sz w:val="20"/>
          <w:szCs w:val="20"/>
          <w:lang w:val="es-EC" w:eastAsia="es-EC"/>
        </w:rPr>
        <w:t>Los activos financieros a valor razonable constituyen títulos y valores o cuentas por cobrar propis en las cuales existe la intención de negociarlos o recuperar liquidez en plazos cortos; estos activos financieros se actualizan a valores razonables del periodo en el cual se origina la variación.</w:t>
      </w:r>
    </w:p>
    <w:p w:rsidR="00B80195" w:rsidRPr="0061256C" w:rsidRDefault="00B80195" w:rsidP="00B80195">
      <w:pPr>
        <w:autoSpaceDE w:val="0"/>
        <w:autoSpaceDN w:val="0"/>
        <w:adjustRightInd w:val="0"/>
        <w:ind w:left="1134"/>
        <w:jc w:val="both"/>
        <w:rPr>
          <w:rFonts w:ascii="Arial" w:hAnsi="Arial" w:cs="Arial"/>
          <w:bCs/>
          <w:sz w:val="20"/>
          <w:szCs w:val="20"/>
          <w:lang w:val="es-EC" w:eastAsia="es-EC"/>
        </w:rPr>
      </w:pPr>
    </w:p>
    <w:p w:rsidR="00B80195" w:rsidRPr="0061256C" w:rsidRDefault="00B80195" w:rsidP="00B80195">
      <w:pPr>
        <w:autoSpaceDE w:val="0"/>
        <w:autoSpaceDN w:val="0"/>
        <w:adjustRightInd w:val="0"/>
        <w:ind w:left="1134"/>
        <w:jc w:val="both"/>
        <w:rPr>
          <w:rFonts w:ascii="Arial" w:hAnsi="Arial" w:cs="Arial"/>
          <w:bCs/>
          <w:sz w:val="20"/>
          <w:szCs w:val="20"/>
          <w:lang w:val="es-EC" w:eastAsia="es-EC"/>
        </w:rPr>
      </w:pPr>
      <w:r w:rsidRPr="0061256C">
        <w:rPr>
          <w:rFonts w:ascii="Arial" w:hAnsi="Arial" w:cs="Arial"/>
          <w:bCs/>
          <w:sz w:val="20"/>
          <w:szCs w:val="20"/>
          <w:lang w:val="es-EC" w:eastAsia="es-EC"/>
        </w:rPr>
        <w:t>Los intereses y descuentos ganados de los activos financieros se registran como ingreso financiero en el estado de resultados tal como se explica en la política de reconocimiento de ingresos.</w:t>
      </w:r>
    </w:p>
    <w:p w:rsidR="00B80195" w:rsidRPr="0061256C" w:rsidRDefault="00B80195" w:rsidP="00B80195">
      <w:pPr>
        <w:tabs>
          <w:tab w:val="left" w:pos="567"/>
          <w:tab w:val="left" w:pos="1701"/>
        </w:tabs>
        <w:ind w:left="1134"/>
        <w:jc w:val="both"/>
        <w:rPr>
          <w:rFonts w:ascii="Arial" w:hAnsi="Arial" w:cs="Arial"/>
          <w:sz w:val="20"/>
          <w:szCs w:val="20"/>
          <w:lang w:eastAsia="es-EC"/>
        </w:rPr>
      </w:pPr>
    </w:p>
    <w:p w:rsidR="00B80195" w:rsidRPr="0061256C" w:rsidRDefault="00B80195" w:rsidP="00B80195">
      <w:pPr>
        <w:numPr>
          <w:ilvl w:val="0"/>
          <w:numId w:val="1"/>
        </w:numPr>
        <w:tabs>
          <w:tab w:val="left" w:pos="1134"/>
        </w:tabs>
        <w:ind w:left="1134" w:hanging="567"/>
        <w:jc w:val="both"/>
        <w:rPr>
          <w:rFonts w:ascii="Arial" w:hAnsi="Arial" w:cs="Arial"/>
          <w:sz w:val="20"/>
          <w:szCs w:val="20"/>
          <w:lang w:eastAsia="es-EC"/>
        </w:rPr>
      </w:pPr>
      <w:r w:rsidRPr="0061256C">
        <w:rPr>
          <w:rFonts w:ascii="Arial" w:hAnsi="Arial" w:cs="Arial"/>
          <w:b/>
          <w:sz w:val="20"/>
          <w:szCs w:val="20"/>
        </w:rPr>
        <w:t>Cuentas por cobrar y préstamos</w:t>
      </w:r>
    </w:p>
    <w:p w:rsidR="00B80195" w:rsidRPr="0061256C" w:rsidRDefault="00B80195" w:rsidP="00B80195">
      <w:pPr>
        <w:tabs>
          <w:tab w:val="left" w:pos="1134"/>
        </w:tabs>
        <w:ind w:left="1134" w:hanging="567"/>
        <w:jc w:val="both"/>
        <w:rPr>
          <w:rFonts w:ascii="Arial" w:hAnsi="Arial" w:cs="Arial"/>
          <w:sz w:val="20"/>
          <w:szCs w:val="20"/>
          <w:lang w:eastAsia="es-EC"/>
        </w:rPr>
      </w:pPr>
    </w:p>
    <w:p w:rsidR="00B80195" w:rsidRPr="0050759F" w:rsidRDefault="00B80195" w:rsidP="00B80195">
      <w:pPr>
        <w:tabs>
          <w:tab w:val="left" w:pos="1134"/>
        </w:tabs>
        <w:ind w:left="1134" w:hanging="567"/>
        <w:jc w:val="both"/>
        <w:rPr>
          <w:rFonts w:ascii="Arial" w:hAnsi="Arial" w:cs="Arial"/>
          <w:sz w:val="20"/>
          <w:szCs w:val="20"/>
        </w:rPr>
      </w:pPr>
      <w:r w:rsidRPr="0061256C">
        <w:rPr>
          <w:rFonts w:ascii="Arial" w:hAnsi="Arial" w:cs="Arial"/>
          <w:sz w:val="20"/>
          <w:szCs w:val="20"/>
          <w:lang w:eastAsia="es-EC"/>
        </w:rPr>
        <w:tab/>
        <w:t xml:space="preserve">Los rubros que mantiene la Compañía corresponden a los deudores comerciales generados por las transacciones comerciales que realiza en el curso normal de sus operaciones y otras cuentas por cobrar, los cuales constituyen pagos fijos y determinables y que no tienen una cotización de mercado bursátil. </w:t>
      </w:r>
      <w:r w:rsidRPr="0061256C">
        <w:rPr>
          <w:rFonts w:ascii="Arial" w:hAnsi="Arial" w:cs="Arial"/>
          <w:sz w:val="20"/>
          <w:szCs w:val="20"/>
          <w:lang w:val="es-EC" w:eastAsia="es-EC"/>
        </w:rPr>
        <w:t>Las transacciones cuyo plazo contractual de cobro hasta de un año o menos se clasi</w:t>
      </w:r>
      <w:r w:rsidRPr="0050759F">
        <w:rPr>
          <w:rFonts w:ascii="Arial" w:hAnsi="Arial" w:cs="Arial"/>
          <w:sz w:val="20"/>
          <w:szCs w:val="20"/>
          <w:lang w:val="es-EC" w:eastAsia="es-EC"/>
        </w:rPr>
        <w:t xml:space="preserve">fican como activos corrientes y aquellas cuyos plazos son mayores a un año se clasifican como activos no corrientes. </w:t>
      </w:r>
      <w:r w:rsidRPr="0050759F">
        <w:rPr>
          <w:rFonts w:ascii="Arial" w:hAnsi="Arial" w:cs="Arial"/>
          <w:sz w:val="20"/>
          <w:szCs w:val="20"/>
          <w:lang w:eastAsia="es-EC"/>
        </w:rPr>
        <w:t xml:space="preserve"> </w:t>
      </w:r>
      <w:r w:rsidRPr="0050759F">
        <w:rPr>
          <w:rFonts w:ascii="Arial" w:hAnsi="Arial" w:cs="Arial"/>
          <w:sz w:val="20"/>
          <w:szCs w:val="20"/>
          <w:lang w:val="es-EC" w:eastAsia="es-EC"/>
        </w:rPr>
        <w:t>Las cuentas por cobrar comerciales se reconocen a su valor nominal en aquellas cuyo plazo contractual es de cobro no excede los 90 días y aquellas que exceden dicho plazo</w:t>
      </w:r>
      <w:r w:rsidRPr="0050759F">
        <w:rPr>
          <w:rFonts w:ascii="Arial" w:hAnsi="Arial" w:cs="Arial"/>
          <w:sz w:val="20"/>
          <w:szCs w:val="20"/>
        </w:rPr>
        <w:t xml:space="preserve"> que no generan ninguna tasa de interés o cuando existen tasas de interés fijas, </w:t>
      </w:r>
      <w:r w:rsidRPr="0050759F">
        <w:rPr>
          <w:rFonts w:ascii="Arial" w:hAnsi="Arial" w:cs="Arial"/>
          <w:sz w:val="20"/>
          <w:szCs w:val="20"/>
          <w:lang w:val="es-EC" w:eastAsia="es-EC"/>
        </w:rPr>
        <w:t xml:space="preserve">se contabilizan </w:t>
      </w:r>
      <w:r w:rsidRPr="0050759F">
        <w:rPr>
          <w:rFonts w:ascii="Arial" w:hAnsi="Arial" w:cs="Arial"/>
          <w:sz w:val="20"/>
          <w:szCs w:val="20"/>
        </w:rPr>
        <w:t>a su valor neto del interés implícito (costo amortizado) para lo cual se utiliza el método de la tasa de interés efectiva.</w:t>
      </w:r>
    </w:p>
    <w:p w:rsidR="00B80195" w:rsidRPr="0050759F" w:rsidRDefault="00B80195" w:rsidP="00B80195">
      <w:pPr>
        <w:tabs>
          <w:tab w:val="left" w:pos="1134"/>
        </w:tabs>
        <w:ind w:left="1134" w:hanging="567"/>
        <w:jc w:val="both"/>
        <w:rPr>
          <w:rFonts w:ascii="Arial" w:hAnsi="Arial" w:cs="Arial"/>
          <w:sz w:val="20"/>
          <w:szCs w:val="20"/>
        </w:rPr>
      </w:pPr>
    </w:p>
    <w:p w:rsidR="00B80195" w:rsidRDefault="00B80195" w:rsidP="00B80195">
      <w:pPr>
        <w:tabs>
          <w:tab w:val="left" w:pos="1134"/>
        </w:tabs>
        <w:ind w:left="1134" w:hanging="567"/>
        <w:jc w:val="both"/>
        <w:rPr>
          <w:rFonts w:ascii="Arial" w:hAnsi="Arial" w:cs="Arial"/>
          <w:sz w:val="20"/>
          <w:szCs w:val="20"/>
          <w:lang w:eastAsia="es-EC"/>
        </w:rPr>
      </w:pPr>
      <w:r>
        <w:rPr>
          <w:rFonts w:ascii="Arial" w:hAnsi="Arial" w:cs="Arial"/>
          <w:sz w:val="20"/>
          <w:szCs w:val="20"/>
          <w:lang w:eastAsia="es-EC"/>
        </w:rPr>
        <w:tab/>
      </w:r>
      <w:r w:rsidRPr="0050759F">
        <w:rPr>
          <w:rFonts w:ascii="Arial" w:hAnsi="Arial" w:cs="Arial"/>
          <w:sz w:val="20"/>
          <w:szCs w:val="20"/>
          <w:lang w:eastAsia="es-EC"/>
        </w:rPr>
        <w:t>Las otras cuentas por cobrar no comerciales y que cumplen con las características de instrumento financiero se registran al costo cuando sus plazos son menos de 90 días.</w:t>
      </w:r>
    </w:p>
    <w:p w:rsidR="00B80195" w:rsidRDefault="00B80195" w:rsidP="00B80195">
      <w:pPr>
        <w:tabs>
          <w:tab w:val="left" w:pos="1134"/>
        </w:tabs>
        <w:ind w:left="1134" w:hanging="567"/>
        <w:jc w:val="both"/>
        <w:rPr>
          <w:rFonts w:ascii="Arial" w:hAnsi="Arial" w:cs="Arial"/>
          <w:b/>
          <w:sz w:val="20"/>
          <w:szCs w:val="20"/>
          <w:u w:val="single"/>
          <w:lang w:eastAsia="es-EC"/>
        </w:rPr>
      </w:pPr>
    </w:p>
    <w:p w:rsidR="00E47673" w:rsidRDefault="00E47673" w:rsidP="00B80195">
      <w:pPr>
        <w:tabs>
          <w:tab w:val="left" w:pos="1134"/>
        </w:tabs>
        <w:ind w:left="1134" w:hanging="567"/>
        <w:jc w:val="both"/>
        <w:rPr>
          <w:rFonts w:ascii="Arial" w:hAnsi="Arial" w:cs="Arial"/>
          <w:b/>
          <w:sz w:val="20"/>
          <w:szCs w:val="20"/>
          <w:u w:val="single"/>
          <w:lang w:eastAsia="es-EC"/>
        </w:rPr>
      </w:pPr>
    </w:p>
    <w:p w:rsidR="00E47673" w:rsidRDefault="00E47673" w:rsidP="00B80195">
      <w:pPr>
        <w:tabs>
          <w:tab w:val="left" w:pos="1134"/>
        </w:tabs>
        <w:ind w:left="1134" w:hanging="567"/>
        <w:jc w:val="both"/>
        <w:rPr>
          <w:rFonts w:ascii="Arial" w:hAnsi="Arial" w:cs="Arial"/>
          <w:b/>
          <w:sz w:val="20"/>
          <w:szCs w:val="20"/>
          <w:u w:val="single"/>
          <w:lang w:eastAsia="es-EC"/>
        </w:rPr>
      </w:pPr>
    </w:p>
    <w:p w:rsidR="00E47673" w:rsidRDefault="00E47673" w:rsidP="00B80195">
      <w:pPr>
        <w:tabs>
          <w:tab w:val="left" w:pos="1134"/>
        </w:tabs>
        <w:ind w:left="1134" w:hanging="567"/>
        <w:jc w:val="both"/>
        <w:rPr>
          <w:rFonts w:ascii="Arial" w:hAnsi="Arial" w:cs="Arial"/>
          <w:b/>
          <w:sz w:val="20"/>
          <w:szCs w:val="20"/>
          <w:u w:val="single"/>
          <w:lang w:eastAsia="es-EC"/>
        </w:rPr>
      </w:pPr>
    </w:p>
    <w:p w:rsidR="00E47673" w:rsidRDefault="00E47673" w:rsidP="00B80195">
      <w:pPr>
        <w:tabs>
          <w:tab w:val="left" w:pos="1134"/>
        </w:tabs>
        <w:ind w:left="1134" w:hanging="567"/>
        <w:jc w:val="both"/>
        <w:rPr>
          <w:rFonts w:ascii="Arial" w:hAnsi="Arial" w:cs="Arial"/>
          <w:b/>
          <w:sz w:val="20"/>
          <w:szCs w:val="20"/>
          <w:u w:val="single"/>
          <w:lang w:eastAsia="es-EC"/>
        </w:rPr>
      </w:pPr>
    </w:p>
    <w:p w:rsidR="00B80195" w:rsidRPr="00C452CF" w:rsidRDefault="00B80195" w:rsidP="00B80195">
      <w:pPr>
        <w:tabs>
          <w:tab w:val="left" w:pos="1134"/>
        </w:tabs>
        <w:ind w:left="1134" w:hanging="567"/>
        <w:jc w:val="both"/>
        <w:rPr>
          <w:rFonts w:ascii="Arial" w:hAnsi="Arial" w:cs="Arial"/>
          <w:b/>
          <w:sz w:val="20"/>
          <w:szCs w:val="20"/>
          <w:u w:val="single"/>
          <w:lang w:eastAsia="es-EC"/>
        </w:rPr>
      </w:pPr>
      <w:r w:rsidRPr="00C452CF">
        <w:rPr>
          <w:rFonts w:ascii="Arial" w:hAnsi="Arial" w:cs="Arial"/>
          <w:b/>
          <w:sz w:val="20"/>
          <w:szCs w:val="20"/>
          <w:u w:val="single"/>
          <w:lang w:eastAsia="es-EC"/>
        </w:rPr>
        <w:lastRenderedPageBreak/>
        <w:t>Otra política</w:t>
      </w:r>
    </w:p>
    <w:p w:rsidR="00B80195" w:rsidRDefault="00B80195" w:rsidP="00B80195">
      <w:pPr>
        <w:jc w:val="both"/>
        <w:rPr>
          <w:rFonts w:ascii="Arial" w:hAnsi="Arial" w:cs="Arial"/>
          <w:b/>
          <w:color w:val="0B3D91"/>
          <w:spacing w:val="-2"/>
          <w:sz w:val="20"/>
          <w:szCs w:val="20"/>
        </w:rPr>
      </w:pPr>
    </w:p>
    <w:p w:rsidR="00B80195" w:rsidRPr="00F82A8D" w:rsidRDefault="00B80195" w:rsidP="00161D0E">
      <w:pPr>
        <w:numPr>
          <w:ilvl w:val="0"/>
          <w:numId w:val="23"/>
        </w:numPr>
        <w:tabs>
          <w:tab w:val="left" w:pos="1134"/>
        </w:tabs>
        <w:jc w:val="both"/>
        <w:rPr>
          <w:rFonts w:ascii="Arial" w:hAnsi="Arial" w:cs="Arial"/>
          <w:b/>
          <w:sz w:val="20"/>
          <w:szCs w:val="20"/>
          <w:lang w:eastAsia="es-EC"/>
        </w:rPr>
      </w:pPr>
      <w:r w:rsidRPr="00F82A8D">
        <w:rPr>
          <w:rFonts w:ascii="Arial" w:hAnsi="Arial" w:cs="Arial"/>
          <w:b/>
          <w:sz w:val="20"/>
          <w:szCs w:val="20"/>
          <w:lang w:eastAsia="es-EC"/>
        </w:rPr>
        <w:t xml:space="preserve">Deterioro de activos financieros </w:t>
      </w:r>
    </w:p>
    <w:p w:rsidR="00B80195" w:rsidRPr="0050759F" w:rsidRDefault="00B80195" w:rsidP="00B80195">
      <w:pPr>
        <w:ind w:left="851"/>
        <w:jc w:val="both"/>
        <w:rPr>
          <w:rFonts w:ascii="Arial" w:hAnsi="Arial" w:cs="Arial"/>
          <w:sz w:val="20"/>
          <w:szCs w:val="20"/>
          <w:lang w:eastAsia="es-EC"/>
        </w:rPr>
      </w:pPr>
    </w:p>
    <w:p w:rsidR="00B80195" w:rsidRPr="0050759F" w:rsidRDefault="00B80195" w:rsidP="00B80195">
      <w:pPr>
        <w:ind w:left="1134"/>
        <w:jc w:val="both"/>
        <w:rPr>
          <w:rFonts w:ascii="Arial" w:hAnsi="Arial" w:cs="Arial"/>
          <w:sz w:val="20"/>
          <w:szCs w:val="20"/>
        </w:rPr>
      </w:pPr>
      <w:r w:rsidRPr="0050759F">
        <w:rPr>
          <w:rFonts w:ascii="Arial" w:hAnsi="Arial" w:cs="Arial"/>
          <w:sz w:val="20"/>
          <w:szCs w:val="20"/>
        </w:rPr>
        <w:t>La Compañía al cierre anual de sus estados financieros efectúa una evaluación si existe en los activos financieros un deterioro en su valor contable y para lo cual efectúa lo siguiente:</w:t>
      </w:r>
    </w:p>
    <w:p w:rsidR="00411944" w:rsidRDefault="00411944" w:rsidP="00B80195">
      <w:pPr>
        <w:rPr>
          <w:rFonts w:ascii="Arial" w:hAnsi="Arial" w:cs="Arial"/>
          <w:sz w:val="20"/>
          <w:szCs w:val="20"/>
        </w:rPr>
      </w:pPr>
    </w:p>
    <w:p w:rsidR="00B80195" w:rsidRPr="0050759F" w:rsidRDefault="00B80195" w:rsidP="00B80195">
      <w:pPr>
        <w:pStyle w:val="Prrafodelista"/>
        <w:tabs>
          <w:tab w:val="left" w:pos="1134"/>
        </w:tabs>
        <w:spacing w:before="0" w:after="0"/>
        <w:rPr>
          <w:rFonts w:ascii="Arial" w:hAnsi="Arial" w:cs="Arial"/>
          <w:b/>
          <w:sz w:val="20"/>
          <w:szCs w:val="20"/>
        </w:rPr>
      </w:pPr>
      <w:r>
        <w:rPr>
          <w:rFonts w:ascii="Arial" w:hAnsi="Arial" w:cs="Arial"/>
          <w:b/>
          <w:sz w:val="20"/>
          <w:szCs w:val="20"/>
        </w:rPr>
        <w:tab/>
      </w:r>
      <w:r w:rsidRPr="0050759F">
        <w:rPr>
          <w:rFonts w:ascii="Arial" w:hAnsi="Arial" w:cs="Arial"/>
          <w:b/>
          <w:sz w:val="20"/>
          <w:szCs w:val="20"/>
        </w:rPr>
        <w:t>Activos financieros no contabilizados al costo amortizado</w:t>
      </w:r>
    </w:p>
    <w:p w:rsidR="00B80195" w:rsidRPr="0050759F" w:rsidRDefault="00B80195" w:rsidP="00B80195">
      <w:pPr>
        <w:pStyle w:val="Prrafodelista"/>
        <w:spacing w:before="0" w:after="0"/>
        <w:ind w:left="851"/>
        <w:rPr>
          <w:rFonts w:ascii="Arial" w:hAnsi="Arial" w:cs="Arial"/>
          <w:sz w:val="20"/>
          <w:szCs w:val="20"/>
        </w:rPr>
      </w:pPr>
    </w:p>
    <w:p w:rsidR="00B80195" w:rsidRPr="0050759F" w:rsidRDefault="00B80195" w:rsidP="00B80195">
      <w:pPr>
        <w:ind w:left="1134"/>
        <w:jc w:val="both"/>
        <w:rPr>
          <w:rFonts w:ascii="Arial" w:hAnsi="Arial" w:cs="Arial"/>
          <w:sz w:val="20"/>
          <w:szCs w:val="20"/>
        </w:rPr>
      </w:pPr>
      <w:r w:rsidRPr="0050759F">
        <w:rPr>
          <w:rFonts w:ascii="Arial" w:hAnsi="Arial" w:cs="Arial"/>
          <w:sz w:val="20"/>
          <w:szCs w:val="20"/>
        </w:rPr>
        <w:t xml:space="preserve">En los activos financieros no contabilizados al costo amortizado, el deterioro se evalúa si existe alguna evidencia objetiva y competente si un activo o grupos de activos se encuentran deteriorados como resultado de un evento o eventos que afectan al valor registrado inicialmente y siempre y cuando dicho evento o eventos tengan un impacto en los flujos de efectivo futuros. Entre </w:t>
      </w:r>
      <w:proofErr w:type="gramStart"/>
      <w:r w:rsidRPr="0050759F">
        <w:rPr>
          <w:rFonts w:ascii="Arial" w:hAnsi="Arial" w:cs="Arial"/>
          <w:sz w:val="20"/>
          <w:szCs w:val="20"/>
        </w:rPr>
        <w:t>las</w:t>
      </w:r>
      <w:proofErr w:type="gramEnd"/>
      <w:r w:rsidRPr="0050759F">
        <w:rPr>
          <w:rFonts w:ascii="Arial" w:hAnsi="Arial" w:cs="Arial"/>
          <w:sz w:val="20"/>
          <w:szCs w:val="20"/>
        </w:rPr>
        <w:t xml:space="preserve"> principales aspectos que se consideran para determinar el deterioro están:</w:t>
      </w:r>
    </w:p>
    <w:p w:rsidR="00B80195" w:rsidRPr="0050759F" w:rsidRDefault="00B80195" w:rsidP="00B80195">
      <w:pPr>
        <w:ind w:left="851"/>
        <w:jc w:val="both"/>
        <w:rPr>
          <w:rFonts w:ascii="Arial" w:hAnsi="Arial" w:cs="Arial"/>
          <w:sz w:val="20"/>
          <w:szCs w:val="20"/>
        </w:rPr>
      </w:pPr>
    </w:p>
    <w:p w:rsidR="00B80195" w:rsidRPr="0050759F" w:rsidRDefault="00B80195" w:rsidP="00161D0E">
      <w:pPr>
        <w:numPr>
          <w:ilvl w:val="0"/>
          <w:numId w:val="21"/>
        </w:numPr>
        <w:ind w:left="1843"/>
        <w:jc w:val="both"/>
        <w:rPr>
          <w:rFonts w:ascii="Arial" w:hAnsi="Arial" w:cs="Arial"/>
          <w:sz w:val="20"/>
          <w:szCs w:val="20"/>
        </w:rPr>
      </w:pPr>
      <w:r w:rsidRPr="0050759F">
        <w:rPr>
          <w:rFonts w:ascii="Arial" w:hAnsi="Arial" w:cs="Arial"/>
          <w:sz w:val="20"/>
          <w:szCs w:val="20"/>
        </w:rPr>
        <w:t xml:space="preserve">las dificultades financieras de los deudores; </w:t>
      </w:r>
    </w:p>
    <w:p w:rsidR="00B80195" w:rsidRPr="0050759F" w:rsidRDefault="00B80195" w:rsidP="00161D0E">
      <w:pPr>
        <w:numPr>
          <w:ilvl w:val="0"/>
          <w:numId w:val="21"/>
        </w:numPr>
        <w:ind w:left="1843"/>
        <w:jc w:val="both"/>
        <w:rPr>
          <w:rFonts w:ascii="Arial" w:hAnsi="Arial" w:cs="Arial"/>
          <w:sz w:val="20"/>
          <w:szCs w:val="20"/>
        </w:rPr>
      </w:pPr>
      <w:r w:rsidRPr="0050759F">
        <w:rPr>
          <w:rFonts w:ascii="Arial" w:hAnsi="Arial" w:cs="Arial"/>
          <w:sz w:val="20"/>
          <w:szCs w:val="20"/>
        </w:rPr>
        <w:t xml:space="preserve">el incumplimiento de pagos en las deudas e intereses; </w:t>
      </w:r>
    </w:p>
    <w:p w:rsidR="00B80195" w:rsidRPr="0050759F" w:rsidRDefault="00B80195" w:rsidP="00161D0E">
      <w:pPr>
        <w:numPr>
          <w:ilvl w:val="0"/>
          <w:numId w:val="21"/>
        </w:numPr>
        <w:ind w:left="1843"/>
        <w:jc w:val="both"/>
        <w:rPr>
          <w:rFonts w:ascii="Arial" w:hAnsi="Arial" w:cs="Arial"/>
          <w:sz w:val="20"/>
          <w:szCs w:val="20"/>
        </w:rPr>
      </w:pPr>
      <w:r w:rsidRPr="0050759F">
        <w:rPr>
          <w:rFonts w:ascii="Arial" w:hAnsi="Arial" w:cs="Arial"/>
          <w:sz w:val="20"/>
          <w:szCs w:val="20"/>
        </w:rPr>
        <w:t>la probabilidad de que existan quiebras, reestructuraciones de deudas.</w:t>
      </w:r>
    </w:p>
    <w:p w:rsidR="00B80195" w:rsidRPr="0050759F" w:rsidRDefault="00B80195" w:rsidP="00B80195">
      <w:pPr>
        <w:jc w:val="both"/>
        <w:rPr>
          <w:rFonts w:ascii="Arial" w:hAnsi="Arial" w:cs="Arial"/>
          <w:sz w:val="20"/>
          <w:szCs w:val="20"/>
        </w:rPr>
      </w:pPr>
    </w:p>
    <w:p w:rsidR="00B80195" w:rsidRPr="0050759F" w:rsidRDefault="00B80195" w:rsidP="00B80195">
      <w:pPr>
        <w:ind w:left="1123"/>
        <w:jc w:val="both"/>
        <w:rPr>
          <w:rFonts w:ascii="Arial" w:hAnsi="Arial" w:cs="Arial"/>
          <w:sz w:val="20"/>
          <w:szCs w:val="20"/>
        </w:rPr>
      </w:pPr>
      <w:r w:rsidRPr="0050759F">
        <w:rPr>
          <w:rFonts w:ascii="Arial" w:hAnsi="Arial" w:cs="Arial"/>
          <w:sz w:val="20"/>
          <w:szCs w:val="20"/>
        </w:rPr>
        <w:t xml:space="preserve">En el caso de que exista evidencia objetiva y competente de que el riesgo de cobro existe, la disminución en el valor razonable se contabiliza en algunos activos disminuyendo el valor del registro inicial y en otros caso se contabiliza una provisión en base al análisis individual y estos ajustes se registran en los resultados del año en que se origina. </w:t>
      </w:r>
    </w:p>
    <w:p w:rsidR="00B80195" w:rsidRPr="0050759F" w:rsidRDefault="00B80195" w:rsidP="00B80195">
      <w:pPr>
        <w:ind w:left="851"/>
        <w:jc w:val="both"/>
        <w:rPr>
          <w:rFonts w:ascii="Arial" w:hAnsi="Arial" w:cs="Arial"/>
          <w:sz w:val="20"/>
          <w:szCs w:val="20"/>
        </w:rPr>
      </w:pPr>
    </w:p>
    <w:p w:rsidR="00B80195" w:rsidRPr="0050759F" w:rsidRDefault="00B80195" w:rsidP="00B80195">
      <w:pPr>
        <w:ind w:left="1123"/>
        <w:jc w:val="both"/>
        <w:rPr>
          <w:rFonts w:ascii="Arial" w:hAnsi="Arial" w:cs="Arial"/>
          <w:sz w:val="20"/>
          <w:szCs w:val="20"/>
        </w:rPr>
      </w:pPr>
      <w:r w:rsidRPr="0050759F">
        <w:rPr>
          <w:rFonts w:ascii="Arial" w:hAnsi="Arial" w:cs="Arial"/>
          <w:sz w:val="20"/>
          <w:szCs w:val="20"/>
        </w:rPr>
        <w:t>Los castigos de los activos en los cuales existe una provisión se disminuyen de estas y en caso de que existan excedentes se registran en los resultados en el periodo en que se determina. Las recuperaciones en el valor de los activos cuyo valor fue disminuido se registran en los resultados cuando dicho evento ocurre.</w:t>
      </w:r>
    </w:p>
    <w:p w:rsidR="00B80195" w:rsidRPr="0050759F" w:rsidRDefault="00B80195" w:rsidP="00B80195">
      <w:pPr>
        <w:ind w:left="851"/>
        <w:jc w:val="both"/>
        <w:rPr>
          <w:rFonts w:ascii="Arial" w:hAnsi="Arial" w:cs="Arial"/>
          <w:sz w:val="20"/>
          <w:szCs w:val="20"/>
        </w:rPr>
      </w:pPr>
    </w:p>
    <w:p w:rsidR="00B80195" w:rsidRPr="0050759F" w:rsidRDefault="00B80195" w:rsidP="00B80195">
      <w:pPr>
        <w:pStyle w:val="Prrafodelista"/>
        <w:tabs>
          <w:tab w:val="left" w:pos="1134"/>
        </w:tabs>
        <w:spacing w:before="0" w:after="0"/>
        <w:rPr>
          <w:rFonts w:ascii="Arial" w:hAnsi="Arial" w:cs="Arial"/>
          <w:b/>
          <w:sz w:val="20"/>
          <w:szCs w:val="20"/>
        </w:rPr>
      </w:pPr>
      <w:r>
        <w:rPr>
          <w:rFonts w:ascii="Arial" w:hAnsi="Arial" w:cs="Arial"/>
          <w:b/>
          <w:sz w:val="20"/>
          <w:szCs w:val="20"/>
        </w:rPr>
        <w:tab/>
      </w:r>
      <w:r w:rsidRPr="0050759F">
        <w:rPr>
          <w:rFonts w:ascii="Arial" w:hAnsi="Arial" w:cs="Arial"/>
          <w:b/>
          <w:sz w:val="20"/>
          <w:szCs w:val="20"/>
        </w:rPr>
        <w:t>Activos financieros contabilizados al costo amortizado</w:t>
      </w:r>
    </w:p>
    <w:p w:rsidR="00B80195" w:rsidRPr="0050759F" w:rsidRDefault="00B80195" w:rsidP="00B80195">
      <w:pPr>
        <w:pStyle w:val="Prrafodelista"/>
        <w:spacing w:before="0" w:after="0"/>
        <w:ind w:left="851"/>
        <w:rPr>
          <w:rFonts w:ascii="Arial" w:hAnsi="Arial" w:cs="Arial"/>
          <w:sz w:val="20"/>
          <w:szCs w:val="20"/>
        </w:rPr>
      </w:pPr>
    </w:p>
    <w:p w:rsidR="00B80195" w:rsidRPr="0050759F" w:rsidRDefault="00B80195" w:rsidP="00B80195">
      <w:pPr>
        <w:pStyle w:val="Prrafodelista"/>
        <w:spacing w:before="0" w:after="0"/>
        <w:ind w:left="1134"/>
        <w:rPr>
          <w:rFonts w:ascii="Arial" w:hAnsi="Arial" w:cs="Arial"/>
          <w:sz w:val="20"/>
          <w:szCs w:val="20"/>
        </w:rPr>
      </w:pPr>
      <w:r w:rsidRPr="0050759F">
        <w:rPr>
          <w:rFonts w:ascii="Arial" w:hAnsi="Arial" w:cs="Arial"/>
          <w:sz w:val="20"/>
          <w:szCs w:val="20"/>
        </w:rPr>
        <w:t>En los activos financieros al costo amortizado la Compañía evalúa en forma individual si existe información objetiva y apropiada si el activo se encuentra deteriorado como resultado de un evento o eventos que afectan al valor registrado inicialmente y en el caso de que la evidencia no permita determinar si existe deterioro, estos activos son evaluados en forma colectiva con el grupo de activos de características similares. El ajuste por deterioro de los activos evaluados en forma individual se reconoce y se sigue reconociendo en el momento que se origina la pérdida y no son incluidos en los activos evaluados en forma colectiva.</w:t>
      </w:r>
    </w:p>
    <w:p w:rsidR="00B80195" w:rsidRPr="0050759F" w:rsidRDefault="00B80195" w:rsidP="00B80195">
      <w:pPr>
        <w:pStyle w:val="Prrafodelista"/>
        <w:spacing w:before="0" w:after="0"/>
        <w:ind w:left="1134"/>
        <w:rPr>
          <w:rFonts w:ascii="Arial" w:hAnsi="Arial" w:cs="Arial"/>
          <w:sz w:val="20"/>
          <w:szCs w:val="20"/>
        </w:rPr>
      </w:pPr>
    </w:p>
    <w:p w:rsidR="00B80195" w:rsidRPr="0050759F" w:rsidRDefault="00B80195" w:rsidP="00B80195">
      <w:pPr>
        <w:pStyle w:val="Prrafodelista"/>
        <w:spacing w:before="0" w:after="0"/>
        <w:ind w:left="1134"/>
        <w:rPr>
          <w:rFonts w:ascii="Arial" w:hAnsi="Arial" w:cs="Arial"/>
          <w:sz w:val="20"/>
          <w:szCs w:val="20"/>
        </w:rPr>
      </w:pPr>
      <w:r w:rsidRPr="0050759F">
        <w:rPr>
          <w:rFonts w:ascii="Arial" w:hAnsi="Arial" w:cs="Arial"/>
          <w:sz w:val="20"/>
          <w:szCs w:val="20"/>
        </w:rPr>
        <w:t>La pérdida por el deterioro del valor del activo se determina entre la diferencia del importe en libros del activo y el valor presente de los flujos de efectivo futuros estimados (excluyendo las pérdidas de crédito futuras esperadas y que aún no se producen). El valor presente de los flujos de efectivo futuros estimados se descuenta a la tasa de interés efectiva original de los activos financieros y en el caso de que un activo devengue una tasa de interés variable, la tasa de descuento para medir cualquier pérdida por deterioro del valor es la tasa de interés efectiva actual.</w:t>
      </w:r>
    </w:p>
    <w:p w:rsidR="00B80195" w:rsidRPr="0050759F" w:rsidRDefault="00B80195" w:rsidP="00B80195">
      <w:pPr>
        <w:pStyle w:val="Prrafodelista"/>
        <w:spacing w:before="0" w:after="0"/>
        <w:ind w:left="1134"/>
        <w:rPr>
          <w:rFonts w:ascii="Arial" w:hAnsi="Arial" w:cs="Arial"/>
          <w:sz w:val="20"/>
          <w:szCs w:val="20"/>
        </w:rPr>
      </w:pPr>
    </w:p>
    <w:p w:rsidR="00B80195" w:rsidRPr="0050759F" w:rsidRDefault="00B80195" w:rsidP="00B80195">
      <w:pPr>
        <w:pStyle w:val="Prrafodelista"/>
        <w:spacing w:before="0" w:after="0"/>
        <w:ind w:left="1134"/>
        <w:rPr>
          <w:rFonts w:ascii="Arial" w:hAnsi="Arial" w:cs="Arial"/>
          <w:sz w:val="20"/>
          <w:szCs w:val="20"/>
        </w:rPr>
      </w:pPr>
      <w:r w:rsidRPr="0050759F">
        <w:rPr>
          <w:rFonts w:ascii="Arial" w:hAnsi="Arial" w:cs="Arial"/>
          <w:sz w:val="20"/>
          <w:szCs w:val="20"/>
        </w:rPr>
        <w:t xml:space="preserve">La pérdida del valor en libros del activo deteriorado se reconoce en la cuenta de provisión y en el estado de resultados integrales al momento que se origina y en el evento de que se determina que no existe deterioro, el valor provisionado se acredita en el estado de resultados integrales. Los préstamos y la provisión correspondiente se dan de baja cuando no existen probabilidades reales de recuperación y no existen garantías reales que cubran </w:t>
      </w:r>
      <w:r w:rsidRPr="0050759F">
        <w:rPr>
          <w:rFonts w:ascii="Arial" w:hAnsi="Arial" w:cs="Arial"/>
          <w:sz w:val="20"/>
          <w:szCs w:val="20"/>
        </w:rPr>
        <w:lastRenderedPageBreak/>
        <w:t>el activo deteriorado. Los incrementos o disminuciones de la provisión inicial se reconocen en los resultados en el momento que se determina estos eventos.</w:t>
      </w:r>
    </w:p>
    <w:p w:rsidR="00B80195" w:rsidRDefault="00B80195" w:rsidP="00B80195">
      <w:pPr>
        <w:pStyle w:val="Prrafodelista"/>
        <w:spacing w:before="0" w:after="0"/>
        <w:ind w:left="0"/>
        <w:rPr>
          <w:rFonts w:ascii="Arial" w:hAnsi="Arial" w:cs="Arial"/>
          <w:sz w:val="20"/>
          <w:szCs w:val="20"/>
        </w:rPr>
      </w:pPr>
    </w:p>
    <w:p w:rsidR="00B80195" w:rsidRPr="00F82A8D" w:rsidRDefault="00B80195" w:rsidP="00B80195">
      <w:pPr>
        <w:ind w:left="709"/>
        <w:jc w:val="both"/>
        <w:rPr>
          <w:rFonts w:ascii="Arial" w:hAnsi="Arial" w:cs="Arial"/>
          <w:b/>
          <w:sz w:val="20"/>
          <w:szCs w:val="20"/>
        </w:rPr>
      </w:pPr>
      <w:r w:rsidRPr="00F82A8D">
        <w:rPr>
          <w:rFonts w:ascii="Arial" w:hAnsi="Arial" w:cs="Arial"/>
          <w:b/>
          <w:sz w:val="20"/>
          <w:szCs w:val="20"/>
        </w:rPr>
        <w:t>Baja de activos financieros</w:t>
      </w:r>
    </w:p>
    <w:p w:rsidR="00B80195" w:rsidRPr="0050759F" w:rsidRDefault="00B80195" w:rsidP="00B80195">
      <w:pPr>
        <w:ind w:left="851"/>
        <w:jc w:val="both"/>
        <w:rPr>
          <w:rFonts w:ascii="Arial" w:hAnsi="Arial" w:cs="Arial"/>
          <w:sz w:val="20"/>
          <w:szCs w:val="20"/>
        </w:rPr>
      </w:pPr>
    </w:p>
    <w:p w:rsidR="00B80195" w:rsidRPr="0050759F" w:rsidRDefault="00B80195" w:rsidP="00B80195">
      <w:pPr>
        <w:ind w:left="851"/>
        <w:jc w:val="both"/>
        <w:rPr>
          <w:rFonts w:ascii="Arial" w:hAnsi="Arial" w:cs="Arial"/>
          <w:sz w:val="20"/>
          <w:szCs w:val="20"/>
        </w:rPr>
      </w:pPr>
      <w:r w:rsidRPr="0050759F">
        <w:rPr>
          <w:rFonts w:ascii="Arial" w:hAnsi="Arial" w:cs="Arial"/>
          <w:sz w:val="20"/>
          <w:szCs w:val="20"/>
        </w:rPr>
        <w:t xml:space="preserve">Un activo financiero es dado de baja cuando: </w:t>
      </w:r>
    </w:p>
    <w:p w:rsidR="00B80195" w:rsidRPr="0050759F" w:rsidRDefault="00B80195" w:rsidP="00B80195">
      <w:pPr>
        <w:tabs>
          <w:tab w:val="left" w:pos="1134"/>
        </w:tabs>
        <w:ind w:left="851"/>
        <w:jc w:val="both"/>
        <w:rPr>
          <w:rFonts w:ascii="Arial" w:hAnsi="Arial" w:cs="Arial"/>
          <w:sz w:val="20"/>
          <w:szCs w:val="20"/>
        </w:rPr>
      </w:pPr>
    </w:p>
    <w:p w:rsidR="00B80195" w:rsidRPr="0050759F" w:rsidRDefault="00B80195" w:rsidP="00161D0E">
      <w:pPr>
        <w:numPr>
          <w:ilvl w:val="2"/>
          <w:numId w:val="4"/>
        </w:numPr>
        <w:tabs>
          <w:tab w:val="left" w:pos="1418"/>
        </w:tabs>
        <w:ind w:left="1418" w:hanging="567"/>
        <w:jc w:val="both"/>
        <w:rPr>
          <w:rFonts w:ascii="Arial" w:hAnsi="Arial" w:cs="Arial"/>
          <w:sz w:val="20"/>
          <w:szCs w:val="20"/>
        </w:rPr>
      </w:pPr>
      <w:r w:rsidRPr="0050759F">
        <w:rPr>
          <w:rFonts w:ascii="Arial" w:hAnsi="Arial" w:cs="Arial"/>
          <w:sz w:val="20"/>
          <w:szCs w:val="20"/>
        </w:rPr>
        <w:t>los derechos de recibir los flujos de efectivo del activo han terminado;</w:t>
      </w:r>
    </w:p>
    <w:p w:rsidR="00B80195" w:rsidRPr="0050759F" w:rsidRDefault="00B80195" w:rsidP="00161D0E">
      <w:pPr>
        <w:numPr>
          <w:ilvl w:val="2"/>
          <w:numId w:val="4"/>
        </w:numPr>
        <w:tabs>
          <w:tab w:val="left" w:pos="1418"/>
        </w:tabs>
        <w:ind w:left="1418" w:hanging="567"/>
        <w:jc w:val="both"/>
        <w:rPr>
          <w:rFonts w:ascii="Arial" w:hAnsi="Arial" w:cs="Arial"/>
          <w:sz w:val="20"/>
          <w:szCs w:val="20"/>
        </w:rPr>
      </w:pPr>
      <w:r w:rsidRPr="0050759F">
        <w:rPr>
          <w:rFonts w:ascii="Arial" w:hAnsi="Arial" w:cs="Arial"/>
          <w:sz w:val="20"/>
          <w:szCs w:val="20"/>
        </w:rPr>
        <w:t>la Compañía transfiere sus derechos a recibir los flujos de efectivo del activo o ha asumido una obligación de pagar la totalidad de los flujos de efectivo recibidos inmediatamente a una tercera parte bajo un acuerdo de traspaso; y,</w:t>
      </w:r>
    </w:p>
    <w:p w:rsidR="00B80195" w:rsidRPr="0050759F" w:rsidRDefault="00B80195" w:rsidP="00161D0E">
      <w:pPr>
        <w:numPr>
          <w:ilvl w:val="2"/>
          <w:numId w:val="4"/>
        </w:numPr>
        <w:tabs>
          <w:tab w:val="left" w:pos="1418"/>
        </w:tabs>
        <w:ind w:left="1418" w:hanging="567"/>
        <w:jc w:val="both"/>
        <w:rPr>
          <w:rFonts w:ascii="Arial" w:hAnsi="Arial" w:cs="Arial"/>
          <w:sz w:val="20"/>
          <w:szCs w:val="20"/>
        </w:rPr>
      </w:pPr>
      <w:r w:rsidRPr="0050759F">
        <w:rPr>
          <w:rFonts w:ascii="Arial" w:hAnsi="Arial" w:cs="Arial"/>
          <w:sz w:val="20"/>
          <w:szCs w:val="20"/>
        </w:rPr>
        <w:t>la Compañía ha transferido sustancialmente todos los riesgos y beneficios del activo o, de no haber transferido ni retenido sustancialmente todos los riesgos y beneficios del activo, si ha transferido su control.</w:t>
      </w:r>
    </w:p>
    <w:p w:rsidR="00D22974" w:rsidRDefault="00D22974" w:rsidP="00B80195">
      <w:pPr>
        <w:ind w:left="709"/>
        <w:jc w:val="both"/>
        <w:rPr>
          <w:rFonts w:ascii="Arial" w:hAnsi="Arial" w:cs="Arial"/>
          <w:b/>
          <w:sz w:val="20"/>
          <w:szCs w:val="20"/>
          <w:u w:val="single"/>
          <w:lang w:val="es-EC" w:eastAsia="es-EC"/>
        </w:rPr>
      </w:pPr>
    </w:p>
    <w:p w:rsidR="00B80195" w:rsidRPr="00F82A8D" w:rsidRDefault="00B80195" w:rsidP="00B80195">
      <w:pPr>
        <w:ind w:left="709"/>
        <w:jc w:val="both"/>
        <w:rPr>
          <w:rFonts w:ascii="Arial" w:hAnsi="Arial" w:cs="Arial"/>
          <w:b/>
          <w:bCs/>
          <w:snapToGrid w:val="0"/>
          <w:sz w:val="20"/>
          <w:szCs w:val="20"/>
          <w:u w:val="single"/>
          <w:lang w:eastAsia="en-US"/>
        </w:rPr>
      </w:pPr>
      <w:r w:rsidRPr="00F82A8D">
        <w:rPr>
          <w:rFonts w:ascii="Arial" w:hAnsi="Arial" w:cs="Arial"/>
          <w:b/>
          <w:sz w:val="20"/>
          <w:szCs w:val="20"/>
          <w:u w:val="single"/>
          <w:lang w:val="es-EC" w:eastAsia="es-EC"/>
        </w:rPr>
        <w:t>Pasivos financieros</w:t>
      </w:r>
    </w:p>
    <w:p w:rsidR="00B80195" w:rsidRPr="0050759F" w:rsidRDefault="00B80195" w:rsidP="00B80195">
      <w:pPr>
        <w:ind w:left="1276"/>
        <w:jc w:val="both"/>
        <w:rPr>
          <w:rFonts w:ascii="Arial" w:hAnsi="Arial" w:cs="Arial"/>
          <w:sz w:val="20"/>
          <w:szCs w:val="20"/>
        </w:rPr>
      </w:pPr>
    </w:p>
    <w:p w:rsidR="00B80195" w:rsidRPr="00F82A8D" w:rsidRDefault="00B80195" w:rsidP="00B80195">
      <w:pPr>
        <w:ind w:left="709"/>
        <w:jc w:val="both"/>
        <w:rPr>
          <w:rFonts w:ascii="Arial" w:hAnsi="Arial" w:cs="Arial"/>
          <w:b/>
          <w:sz w:val="20"/>
          <w:szCs w:val="20"/>
          <w:lang w:eastAsia="es-EC"/>
        </w:rPr>
      </w:pPr>
      <w:r w:rsidRPr="00F82A8D">
        <w:rPr>
          <w:rFonts w:ascii="Arial" w:hAnsi="Arial" w:cs="Arial"/>
          <w:b/>
          <w:sz w:val="20"/>
          <w:szCs w:val="20"/>
          <w:lang w:eastAsia="es-EC"/>
        </w:rPr>
        <w:t>Reconocimiento y medición inicial</w:t>
      </w:r>
    </w:p>
    <w:p w:rsidR="00B80195" w:rsidRPr="0050759F" w:rsidRDefault="00B80195" w:rsidP="00B80195">
      <w:pPr>
        <w:ind w:left="709"/>
        <w:jc w:val="both"/>
        <w:rPr>
          <w:rFonts w:ascii="Arial" w:hAnsi="Arial" w:cs="Arial"/>
          <w:b/>
          <w:sz w:val="20"/>
          <w:szCs w:val="20"/>
          <w:lang w:eastAsia="es-EC"/>
        </w:rPr>
      </w:pPr>
    </w:p>
    <w:p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Los pasivos se reconocen cuando existe un acuerdo contractual y se registran al valor acordado de pago más los costos atribuibles – valor razonable.</w:t>
      </w:r>
    </w:p>
    <w:p w:rsidR="00B80195" w:rsidRPr="00A207C3" w:rsidRDefault="00B80195" w:rsidP="00B80195">
      <w:pPr>
        <w:ind w:left="709"/>
        <w:jc w:val="both"/>
        <w:rPr>
          <w:rFonts w:ascii="Arial" w:hAnsi="Arial" w:cs="Arial"/>
          <w:sz w:val="20"/>
          <w:szCs w:val="20"/>
        </w:rPr>
      </w:pPr>
    </w:p>
    <w:p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Los pasivos financieros constituyen: préstamos y cuentas por pagar comerciales y otras cuentas por pagar, que cumplen con la característica de instrumento financiero, los cuales corresponden a transacciones por bienes o servicios adquiridos del curso normal de los negocios que están pendientes de pago y se clasifican como pasivos corrientes cuando el plazo de pago es de un año o menos y como pasivos no corrientes cuando el plazo excede más de un año.</w:t>
      </w:r>
    </w:p>
    <w:p w:rsidR="00B80195" w:rsidRPr="00A207C3" w:rsidRDefault="00B80195" w:rsidP="00B80195">
      <w:pPr>
        <w:ind w:left="709"/>
        <w:jc w:val="both"/>
        <w:rPr>
          <w:rFonts w:ascii="Arial" w:hAnsi="Arial" w:cs="Arial"/>
          <w:sz w:val="20"/>
          <w:szCs w:val="20"/>
        </w:rPr>
      </w:pPr>
    </w:p>
    <w:p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Los pasivos financieros se registran: (a) al valor razonable; y, (b) al costo amortizado.</w:t>
      </w:r>
    </w:p>
    <w:p w:rsidR="00B80195" w:rsidRPr="00A207C3" w:rsidRDefault="00B80195" w:rsidP="00B80195">
      <w:pPr>
        <w:ind w:left="709"/>
        <w:jc w:val="both"/>
        <w:rPr>
          <w:rFonts w:ascii="Arial" w:hAnsi="Arial" w:cs="Arial"/>
          <w:sz w:val="20"/>
          <w:szCs w:val="20"/>
        </w:rPr>
      </w:pPr>
    </w:p>
    <w:p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Los pasivos financieros a costo principalmente corresponden a:</w:t>
      </w:r>
    </w:p>
    <w:p w:rsidR="00B80195" w:rsidRPr="00A207C3" w:rsidRDefault="00B80195" w:rsidP="00B80195">
      <w:pPr>
        <w:ind w:left="709"/>
        <w:jc w:val="both"/>
        <w:rPr>
          <w:rFonts w:ascii="Arial" w:hAnsi="Arial" w:cs="Arial"/>
          <w:sz w:val="20"/>
          <w:szCs w:val="20"/>
        </w:rPr>
      </w:pPr>
    </w:p>
    <w:p w:rsidR="00B80195" w:rsidRPr="00A207C3" w:rsidRDefault="00B80195" w:rsidP="00161D0E">
      <w:pPr>
        <w:numPr>
          <w:ilvl w:val="0"/>
          <w:numId w:val="5"/>
        </w:numPr>
        <w:ind w:left="1276" w:hanging="567"/>
        <w:jc w:val="both"/>
        <w:rPr>
          <w:rFonts w:ascii="Arial" w:hAnsi="Arial" w:cs="Arial"/>
          <w:sz w:val="20"/>
          <w:szCs w:val="20"/>
        </w:rPr>
      </w:pPr>
      <w:r w:rsidRPr="00A207C3">
        <w:rPr>
          <w:rFonts w:ascii="Arial" w:hAnsi="Arial" w:cs="Arial"/>
          <w:sz w:val="20"/>
          <w:szCs w:val="20"/>
        </w:rPr>
        <w:t>Los préstamos a tasas fijas de interés y los cuales no contemplan ningún reajuste periódico.</w:t>
      </w:r>
    </w:p>
    <w:p w:rsidR="00B80195" w:rsidRPr="00A207C3" w:rsidRDefault="00B80195" w:rsidP="00161D0E">
      <w:pPr>
        <w:numPr>
          <w:ilvl w:val="0"/>
          <w:numId w:val="5"/>
        </w:numPr>
        <w:ind w:left="1276" w:hanging="567"/>
        <w:jc w:val="both"/>
        <w:rPr>
          <w:rFonts w:ascii="Arial" w:hAnsi="Arial" w:cs="Arial"/>
          <w:sz w:val="20"/>
          <w:szCs w:val="20"/>
        </w:rPr>
      </w:pPr>
      <w:r w:rsidRPr="00A207C3">
        <w:rPr>
          <w:rFonts w:ascii="Arial" w:hAnsi="Arial" w:cs="Arial"/>
          <w:sz w:val="20"/>
          <w:szCs w:val="20"/>
        </w:rPr>
        <w:t>Las cuentas por pagar cuyo plazo de pago es mayor a los 90 días y no incluyen ninguna tasa de interés.</w:t>
      </w:r>
    </w:p>
    <w:p w:rsidR="00B80195" w:rsidRPr="00A207C3" w:rsidRDefault="00B80195" w:rsidP="00B80195">
      <w:pPr>
        <w:ind w:left="709"/>
        <w:jc w:val="both"/>
        <w:rPr>
          <w:rFonts w:ascii="Arial" w:hAnsi="Arial" w:cs="Arial"/>
          <w:sz w:val="20"/>
          <w:szCs w:val="20"/>
        </w:rPr>
      </w:pPr>
    </w:p>
    <w:p w:rsidR="00B80195" w:rsidRPr="00A207C3" w:rsidRDefault="00B80195" w:rsidP="00B80195">
      <w:pPr>
        <w:ind w:left="709"/>
        <w:jc w:val="both"/>
        <w:rPr>
          <w:rFonts w:ascii="Arial" w:hAnsi="Arial" w:cs="Arial"/>
          <w:sz w:val="20"/>
          <w:szCs w:val="20"/>
        </w:rPr>
      </w:pPr>
      <w:r w:rsidRPr="00A207C3">
        <w:rPr>
          <w:rFonts w:ascii="Arial" w:hAnsi="Arial" w:cs="Arial"/>
          <w:sz w:val="20"/>
          <w:szCs w:val="20"/>
        </w:rPr>
        <w:t>El costo amortizado es calculado utilizando el método de la tasa de interés efectiva, para lo cual se incluye cualquier descuento o prima en la emisión y los costos que son parte integral de la tasa efectiva de interés.</w:t>
      </w:r>
    </w:p>
    <w:p w:rsidR="00B80195" w:rsidRPr="00327BEB" w:rsidRDefault="00B80195" w:rsidP="00B80195">
      <w:pPr>
        <w:ind w:left="1276"/>
        <w:jc w:val="both"/>
        <w:rPr>
          <w:rFonts w:ascii="Arial" w:hAnsi="Arial" w:cs="Arial"/>
          <w:b/>
          <w:sz w:val="20"/>
          <w:szCs w:val="20"/>
        </w:rPr>
      </w:pPr>
    </w:p>
    <w:p w:rsidR="00B80195" w:rsidRPr="00327BEB" w:rsidRDefault="00B80195" w:rsidP="00B80195">
      <w:pPr>
        <w:ind w:left="709"/>
        <w:jc w:val="both"/>
        <w:rPr>
          <w:rFonts w:ascii="Arial" w:hAnsi="Arial" w:cs="Arial"/>
          <w:b/>
          <w:sz w:val="20"/>
          <w:szCs w:val="20"/>
        </w:rPr>
      </w:pPr>
      <w:r w:rsidRPr="00327BEB">
        <w:rPr>
          <w:rFonts w:ascii="Arial" w:hAnsi="Arial" w:cs="Arial"/>
          <w:b/>
          <w:sz w:val="20"/>
          <w:szCs w:val="20"/>
        </w:rPr>
        <w:t>Medición posterior</w:t>
      </w:r>
    </w:p>
    <w:p w:rsidR="00B80195" w:rsidRPr="0050759F" w:rsidRDefault="00B80195" w:rsidP="00B80195">
      <w:pPr>
        <w:ind w:left="709"/>
        <w:jc w:val="both"/>
        <w:rPr>
          <w:rFonts w:ascii="Arial" w:hAnsi="Arial" w:cs="Arial"/>
          <w:sz w:val="20"/>
          <w:szCs w:val="20"/>
        </w:rPr>
      </w:pPr>
    </w:p>
    <w:p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Los pasivos financieros a valor razonable se ajustan en forma posterior, el cual conjuntamente con los intereses se registran en los resultados de período.</w:t>
      </w:r>
    </w:p>
    <w:p w:rsidR="00B80195" w:rsidRPr="00A207C3" w:rsidRDefault="00B80195" w:rsidP="00B80195">
      <w:pPr>
        <w:ind w:left="1276"/>
        <w:jc w:val="both"/>
        <w:rPr>
          <w:rFonts w:ascii="Arial" w:hAnsi="Arial" w:cs="Arial"/>
          <w:sz w:val="20"/>
          <w:szCs w:val="20"/>
        </w:rPr>
      </w:pPr>
    </w:p>
    <w:p w:rsidR="00B80195" w:rsidRPr="00A207C3" w:rsidRDefault="00B80195" w:rsidP="00B80195">
      <w:pPr>
        <w:ind w:left="709"/>
        <w:jc w:val="both"/>
        <w:rPr>
          <w:rFonts w:ascii="Arial" w:hAnsi="Arial" w:cs="Arial"/>
          <w:sz w:val="20"/>
          <w:szCs w:val="20"/>
        </w:rPr>
      </w:pPr>
      <w:r w:rsidRPr="00A207C3">
        <w:rPr>
          <w:rFonts w:ascii="Arial" w:hAnsi="Arial" w:cs="Arial"/>
          <w:sz w:val="20"/>
          <w:szCs w:val="20"/>
        </w:rPr>
        <w:t>La diferencia entre el valor nominal y el costo amortizado se reconoce en los resultados por el método del interés; mientras que las ganancias o pérdidas en la cancelación de los pasivos financieros se reconocen en los resultados cuando los pasivos son cancelados o dados de baja.</w:t>
      </w:r>
    </w:p>
    <w:p w:rsidR="00B80195" w:rsidRDefault="00B80195" w:rsidP="00B80195">
      <w:pPr>
        <w:ind w:left="709"/>
        <w:jc w:val="both"/>
        <w:rPr>
          <w:rFonts w:ascii="Arial" w:hAnsi="Arial" w:cs="Arial"/>
          <w:b/>
          <w:sz w:val="20"/>
          <w:szCs w:val="20"/>
        </w:rPr>
      </w:pPr>
    </w:p>
    <w:p w:rsidR="00B80195" w:rsidRPr="00327BEB" w:rsidRDefault="00B80195" w:rsidP="00B80195">
      <w:pPr>
        <w:ind w:left="709"/>
        <w:jc w:val="both"/>
        <w:rPr>
          <w:rFonts w:ascii="Arial" w:hAnsi="Arial" w:cs="Arial"/>
          <w:b/>
          <w:sz w:val="20"/>
          <w:szCs w:val="20"/>
        </w:rPr>
      </w:pPr>
      <w:r w:rsidRPr="00327BEB">
        <w:rPr>
          <w:rFonts w:ascii="Arial" w:hAnsi="Arial" w:cs="Arial"/>
          <w:b/>
          <w:sz w:val="20"/>
          <w:szCs w:val="20"/>
        </w:rPr>
        <w:t>Baja de pasivos financieros</w:t>
      </w:r>
    </w:p>
    <w:p w:rsidR="00B80195" w:rsidRPr="0050759F" w:rsidRDefault="00B80195" w:rsidP="00B80195">
      <w:pPr>
        <w:pStyle w:val="Prrafodelista"/>
        <w:tabs>
          <w:tab w:val="left" w:pos="1134"/>
        </w:tabs>
        <w:spacing w:before="0" w:after="0"/>
        <w:ind w:left="709"/>
        <w:rPr>
          <w:rFonts w:ascii="Arial" w:hAnsi="Arial" w:cs="Arial"/>
          <w:sz w:val="20"/>
          <w:szCs w:val="20"/>
        </w:rPr>
      </w:pPr>
    </w:p>
    <w:p w:rsidR="00B80195" w:rsidRPr="0050759F" w:rsidRDefault="00B80195" w:rsidP="00B80195">
      <w:pPr>
        <w:ind w:left="709"/>
        <w:jc w:val="both"/>
        <w:rPr>
          <w:rFonts w:ascii="Arial" w:hAnsi="Arial" w:cs="Arial"/>
          <w:sz w:val="20"/>
          <w:szCs w:val="20"/>
        </w:rPr>
      </w:pPr>
      <w:r w:rsidRPr="0050759F">
        <w:rPr>
          <w:rFonts w:ascii="Arial" w:hAnsi="Arial" w:cs="Arial"/>
          <w:sz w:val="20"/>
          <w:szCs w:val="20"/>
        </w:rPr>
        <w:t xml:space="preserve">Un pasivo financiero es dado de baja cuando la obligación de pago se termina, se cancela o expira. </w:t>
      </w:r>
    </w:p>
    <w:p w:rsidR="00B80195" w:rsidRPr="0050759F" w:rsidRDefault="00B80195" w:rsidP="00B80195">
      <w:pPr>
        <w:ind w:left="709"/>
        <w:jc w:val="both"/>
        <w:rPr>
          <w:rFonts w:ascii="Arial" w:hAnsi="Arial" w:cs="Arial"/>
          <w:sz w:val="20"/>
          <w:szCs w:val="20"/>
        </w:rPr>
      </w:pPr>
      <w:r w:rsidRPr="0050759F">
        <w:rPr>
          <w:rFonts w:ascii="Arial" w:hAnsi="Arial" w:cs="Arial"/>
          <w:sz w:val="20"/>
          <w:szCs w:val="20"/>
        </w:rPr>
        <w:lastRenderedPageBreak/>
        <w:t xml:space="preserve">Cuando un pasivo financiero existente es reemplazado por otro del mismo prestatario en condiciones significativamente diferentes, o las condiciones son modificadas en forma importante, dicho reemplazo o modificación se trata como una </w:t>
      </w:r>
      <w:r w:rsidRPr="0050759F">
        <w:rPr>
          <w:rFonts w:ascii="Arial" w:hAnsi="Arial" w:cs="Arial"/>
          <w:sz w:val="20"/>
          <w:szCs w:val="20"/>
          <w:lang w:eastAsia="es-EC"/>
        </w:rPr>
        <w:t>baja</w:t>
      </w:r>
      <w:r w:rsidRPr="0050759F">
        <w:rPr>
          <w:rFonts w:ascii="Arial" w:hAnsi="Arial" w:cs="Arial"/>
          <w:sz w:val="20"/>
          <w:szCs w:val="20"/>
        </w:rPr>
        <w:t xml:space="preserve"> del pasivo original y el reconocimiento de un nuevo pasivo, reconociéndose la diferencia entre ambos en los resultados del período.</w:t>
      </w:r>
    </w:p>
    <w:p w:rsidR="00B80195" w:rsidRPr="0050759F" w:rsidRDefault="00B80195" w:rsidP="00B80195">
      <w:pPr>
        <w:ind w:left="709"/>
        <w:jc w:val="both"/>
        <w:rPr>
          <w:rFonts w:ascii="Arial" w:hAnsi="Arial" w:cs="Arial"/>
          <w:b/>
          <w:sz w:val="20"/>
          <w:szCs w:val="20"/>
        </w:rPr>
      </w:pPr>
    </w:p>
    <w:p w:rsidR="00B80195" w:rsidRPr="00327BEB" w:rsidRDefault="00B80195" w:rsidP="00B80195">
      <w:pPr>
        <w:ind w:left="709"/>
        <w:jc w:val="both"/>
        <w:rPr>
          <w:rFonts w:ascii="Arial" w:hAnsi="Arial" w:cs="Arial"/>
          <w:b/>
          <w:sz w:val="20"/>
          <w:szCs w:val="20"/>
        </w:rPr>
      </w:pPr>
      <w:r w:rsidRPr="00327BEB">
        <w:rPr>
          <w:rFonts w:ascii="Arial" w:hAnsi="Arial" w:cs="Arial"/>
          <w:b/>
          <w:sz w:val="20"/>
          <w:szCs w:val="20"/>
        </w:rPr>
        <w:t xml:space="preserve">Compensación de </w:t>
      </w:r>
      <w:r w:rsidRPr="00327BEB">
        <w:rPr>
          <w:rFonts w:ascii="Arial" w:hAnsi="Arial" w:cs="Arial"/>
          <w:b/>
          <w:sz w:val="20"/>
          <w:szCs w:val="20"/>
          <w:lang w:val="es-EC" w:eastAsia="es-EC"/>
        </w:rPr>
        <w:t>instrumentos</w:t>
      </w:r>
      <w:r w:rsidRPr="00327BEB">
        <w:rPr>
          <w:rFonts w:ascii="Arial" w:hAnsi="Arial" w:cs="Arial"/>
          <w:b/>
          <w:sz w:val="20"/>
          <w:szCs w:val="20"/>
        </w:rPr>
        <w:t xml:space="preserve"> financieros</w:t>
      </w:r>
    </w:p>
    <w:p w:rsidR="00B80195" w:rsidRPr="0050759F" w:rsidRDefault="00B80195" w:rsidP="00B80195">
      <w:pPr>
        <w:ind w:left="709"/>
        <w:jc w:val="both"/>
        <w:rPr>
          <w:rFonts w:ascii="Arial" w:hAnsi="Arial" w:cs="Arial"/>
          <w:sz w:val="20"/>
          <w:szCs w:val="20"/>
        </w:rPr>
      </w:pPr>
    </w:p>
    <w:p w:rsidR="00B80195" w:rsidRDefault="00B80195" w:rsidP="00B80195">
      <w:pPr>
        <w:tabs>
          <w:tab w:val="left" w:pos="993"/>
        </w:tabs>
        <w:ind w:left="709"/>
        <w:jc w:val="both"/>
        <w:rPr>
          <w:rFonts w:ascii="Arial" w:hAnsi="Arial" w:cs="Arial"/>
          <w:sz w:val="20"/>
          <w:szCs w:val="20"/>
        </w:rPr>
      </w:pPr>
      <w:r w:rsidRPr="0050759F">
        <w:rPr>
          <w:rFonts w:ascii="Arial" w:hAnsi="Arial" w:cs="Arial"/>
          <w:sz w:val="20"/>
          <w:szCs w:val="20"/>
        </w:rPr>
        <w:t>Los activos y pasivos financieros objeto de compensación de dichos saldos se presentan en el balance general a valor neto, cuando existe el derecho legal de compensarlos y la Compañía tiene la intención de liquidarlos mediante este procedimiento.</w:t>
      </w:r>
    </w:p>
    <w:p w:rsidR="00D22974" w:rsidRPr="0050759F" w:rsidRDefault="00D22974" w:rsidP="00B80195">
      <w:pPr>
        <w:jc w:val="both"/>
        <w:rPr>
          <w:rFonts w:ascii="Arial" w:hAnsi="Arial" w:cs="Arial"/>
          <w:sz w:val="20"/>
          <w:szCs w:val="20"/>
          <w:lang w:eastAsia="es-EC"/>
        </w:rPr>
      </w:pPr>
    </w:p>
    <w:p w:rsidR="00B80195" w:rsidRPr="0050759F" w:rsidRDefault="00B80195" w:rsidP="00161D0E">
      <w:pPr>
        <w:numPr>
          <w:ilvl w:val="0"/>
          <w:numId w:val="5"/>
        </w:numPr>
        <w:ind w:left="709" w:hanging="709"/>
        <w:jc w:val="both"/>
        <w:rPr>
          <w:rFonts w:ascii="Arial" w:hAnsi="Arial" w:cs="Arial"/>
          <w:b/>
          <w:sz w:val="20"/>
          <w:szCs w:val="20"/>
        </w:rPr>
      </w:pPr>
      <w:r>
        <w:rPr>
          <w:rFonts w:ascii="Arial" w:hAnsi="Arial" w:cs="Arial"/>
          <w:b/>
          <w:bCs/>
          <w:snapToGrid w:val="0"/>
          <w:sz w:val="20"/>
          <w:szCs w:val="20"/>
          <w:lang w:eastAsia="en-US"/>
        </w:rPr>
        <w:t>Mobiliario, vehículos y equipos</w:t>
      </w:r>
    </w:p>
    <w:p w:rsidR="00B80195" w:rsidRPr="0050759F" w:rsidRDefault="00B80195" w:rsidP="00B80195">
      <w:pPr>
        <w:ind w:left="709"/>
        <w:rPr>
          <w:rFonts w:ascii="Arial" w:hAnsi="Arial" w:cs="Arial"/>
          <w:sz w:val="20"/>
          <w:szCs w:val="20"/>
        </w:rPr>
      </w:pPr>
    </w:p>
    <w:p w:rsidR="00B80195" w:rsidRPr="00327BEB" w:rsidRDefault="00B80195" w:rsidP="00B80195">
      <w:pPr>
        <w:ind w:left="709"/>
        <w:rPr>
          <w:rFonts w:ascii="Arial" w:hAnsi="Arial" w:cs="Arial"/>
          <w:b/>
          <w:bCs/>
          <w:sz w:val="20"/>
          <w:szCs w:val="20"/>
          <w:u w:val="single"/>
        </w:rPr>
      </w:pPr>
      <w:r w:rsidRPr="00327BEB">
        <w:rPr>
          <w:rFonts w:ascii="Arial" w:hAnsi="Arial" w:cs="Arial"/>
          <w:b/>
          <w:bCs/>
          <w:sz w:val="20"/>
          <w:szCs w:val="20"/>
          <w:u w:val="single"/>
        </w:rPr>
        <w:t>Medición y reconocimiento</w:t>
      </w:r>
    </w:p>
    <w:p w:rsidR="00B80195" w:rsidRPr="0050759F" w:rsidRDefault="00B80195" w:rsidP="00B80195">
      <w:pPr>
        <w:ind w:left="709"/>
        <w:rPr>
          <w:rFonts w:ascii="Arial" w:hAnsi="Arial" w:cs="Arial"/>
          <w:sz w:val="20"/>
          <w:szCs w:val="20"/>
        </w:rPr>
      </w:pPr>
    </w:p>
    <w:p w:rsidR="00B80195" w:rsidRPr="0050759F" w:rsidRDefault="00B80195" w:rsidP="00B80195">
      <w:pPr>
        <w:ind w:left="709"/>
        <w:jc w:val="both"/>
        <w:rPr>
          <w:rFonts w:ascii="Arial" w:hAnsi="Arial" w:cs="Arial"/>
          <w:sz w:val="20"/>
          <w:szCs w:val="20"/>
          <w:lang w:eastAsia="es-EC"/>
        </w:rPr>
      </w:pPr>
      <w:r>
        <w:rPr>
          <w:rFonts w:ascii="Arial" w:hAnsi="Arial" w:cs="Arial"/>
          <w:sz w:val="20"/>
          <w:szCs w:val="20"/>
          <w:lang w:eastAsia="es-EC"/>
        </w:rPr>
        <w:t>El mobiliario, vehículos y equipos</w:t>
      </w:r>
      <w:r w:rsidR="00F17DA5">
        <w:rPr>
          <w:rFonts w:ascii="Arial" w:hAnsi="Arial" w:cs="Arial"/>
          <w:sz w:val="20"/>
          <w:szCs w:val="20"/>
          <w:lang w:eastAsia="es-EC"/>
        </w:rPr>
        <w:t xml:space="preserve"> </w:t>
      </w:r>
      <w:r w:rsidRPr="0050759F">
        <w:rPr>
          <w:rFonts w:ascii="Arial" w:hAnsi="Arial" w:cs="Arial"/>
          <w:sz w:val="20"/>
          <w:szCs w:val="20"/>
          <w:lang w:eastAsia="es-EC"/>
        </w:rPr>
        <w:t>se registra</w:t>
      </w:r>
      <w:r>
        <w:rPr>
          <w:rFonts w:ascii="Arial" w:hAnsi="Arial" w:cs="Arial"/>
          <w:sz w:val="20"/>
          <w:szCs w:val="20"/>
          <w:lang w:eastAsia="es-EC"/>
        </w:rPr>
        <w:t>n</w:t>
      </w:r>
      <w:r w:rsidRPr="0050759F">
        <w:rPr>
          <w:rFonts w:ascii="Arial" w:hAnsi="Arial" w:cs="Arial"/>
          <w:sz w:val="20"/>
          <w:szCs w:val="20"/>
          <w:lang w:eastAsia="es-EC"/>
        </w:rPr>
        <w:t xml:space="preserve"> al costo y se presenta neto de la depreciación acumulada.</w:t>
      </w:r>
    </w:p>
    <w:p w:rsidR="00B80195" w:rsidRPr="0050759F" w:rsidRDefault="00B80195" w:rsidP="00B80195">
      <w:pPr>
        <w:ind w:left="709"/>
        <w:jc w:val="both"/>
        <w:rPr>
          <w:rFonts w:ascii="Arial" w:hAnsi="Arial" w:cs="Arial"/>
          <w:sz w:val="20"/>
          <w:szCs w:val="20"/>
          <w:lang w:eastAsia="es-EC"/>
        </w:rPr>
      </w:pP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El costo de los activos constituye todos los desembolsos incurridos hasta que están listos para su uso y se deprecian a partir de la puesta en marcha.</w:t>
      </w:r>
    </w:p>
    <w:p w:rsidR="00B80195" w:rsidRPr="0050759F" w:rsidRDefault="00B80195" w:rsidP="00B80195">
      <w:pPr>
        <w:ind w:left="709"/>
        <w:jc w:val="both"/>
        <w:rPr>
          <w:rFonts w:ascii="Arial" w:hAnsi="Arial" w:cs="Arial"/>
          <w:sz w:val="20"/>
          <w:szCs w:val="20"/>
          <w:lang w:eastAsia="es-EC"/>
        </w:rPr>
      </w:pPr>
    </w:p>
    <w:p w:rsidR="00B80195" w:rsidRPr="00327BEB" w:rsidRDefault="00B80195" w:rsidP="00B80195">
      <w:pPr>
        <w:ind w:left="709"/>
        <w:rPr>
          <w:rFonts w:ascii="Arial" w:hAnsi="Arial" w:cs="Arial"/>
          <w:b/>
          <w:sz w:val="20"/>
          <w:szCs w:val="20"/>
          <w:u w:val="single"/>
          <w:lang w:eastAsia="es-EC"/>
        </w:rPr>
      </w:pPr>
      <w:r w:rsidRPr="00327BEB">
        <w:rPr>
          <w:rFonts w:ascii="Arial" w:hAnsi="Arial" w:cs="Arial"/>
          <w:b/>
          <w:sz w:val="20"/>
          <w:szCs w:val="20"/>
          <w:u w:val="single"/>
          <w:lang w:eastAsia="es-EC"/>
        </w:rPr>
        <w:t>Costos posteriores</w:t>
      </w:r>
    </w:p>
    <w:p w:rsidR="00B80195" w:rsidRPr="0050759F" w:rsidRDefault="00B80195" w:rsidP="00B80195">
      <w:pPr>
        <w:ind w:left="709"/>
        <w:jc w:val="both"/>
        <w:rPr>
          <w:rFonts w:ascii="Arial" w:hAnsi="Arial" w:cs="Arial"/>
          <w:sz w:val="20"/>
          <w:szCs w:val="20"/>
          <w:lang w:eastAsia="es-EC"/>
        </w:rPr>
      </w:pP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Los desembolsos por reparación y mantenimiento efectuados para reparar o mantener el beneficio económico futu</w:t>
      </w:r>
      <w:r>
        <w:rPr>
          <w:rFonts w:ascii="Arial" w:hAnsi="Arial" w:cs="Arial"/>
          <w:sz w:val="20"/>
          <w:szCs w:val="20"/>
          <w:lang w:eastAsia="es-EC"/>
        </w:rPr>
        <w:t xml:space="preserve">ro esperado del mobiliario, vehículos y equipos </w:t>
      </w:r>
      <w:r w:rsidRPr="0050759F">
        <w:rPr>
          <w:rFonts w:ascii="Arial" w:hAnsi="Arial" w:cs="Arial"/>
          <w:sz w:val="20"/>
          <w:szCs w:val="20"/>
          <w:lang w:eastAsia="es-EC"/>
        </w:rPr>
        <w:t>se reconoce como un gasto cuando se incurre, mientras que las mejoras de importancia se capitalizan.</w:t>
      </w:r>
    </w:p>
    <w:p w:rsidR="00B80195" w:rsidRPr="0050759F" w:rsidRDefault="00B80195" w:rsidP="00B80195">
      <w:pPr>
        <w:ind w:left="709"/>
        <w:rPr>
          <w:rFonts w:ascii="Arial" w:hAnsi="Arial" w:cs="Arial"/>
          <w:b/>
          <w:sz w:val="20"/>
          <w:szCs w:val="20"/>
          <w:u w:val="single"/>
          <w:lang w:eastAsia="es-EC"/>
        </w:rPr>
      </w:pPr>
    </w:p>
    <w:p w:rsidR="00B80195" w:rsidRPr="00327BEB" w:rsidRDefault="00B80195" w:rsidP="00B80195">
      <w:pPr>
        <w:ind w:left="709"/>
        <w:rPr>
          <w:rFonts w:ascii="Arial" w:hAnsi="Arial" w:cs="Arial"/>
          <w:b/>
          <w:sz w:val="20"/>
          <w:szCs w:val="20"/>
          <w:u w:val="single"/>
          <w:lang w:eastAsia="es-EC"/>
        </w:rPr>
      </w:pPr>
      <w:r w:rsidRPr="00327BEB">
        <w:rPr>
          <w:rFonts w:ascii="Arial" w:hAnsi="Arial" w:cs="Arial"/>
          <w:b/>
          <w:sz w:val="20"/>
          <w:szCs w:val="20"/>
          <w:u w:val="single"/>
          <w:lang w:eastAsia="es-EC"/>
        </w:rPr>
        <w:t>Depreciación</w:t>
      </w:r>
    </w:p>
    <w:p w:rsidR="00B80195" w:rsidRPr="0050759F" w:rsidRDefault="00B80195" w:rsidP="00B80195">
      <w:pPr>
        <w:ind w:left="709"/>
        <w:rPr>
          <w:rFonts w:ascii="Arial" w:hAnsi="Arial" w:cs="Arial"/>
          <w:sz w:val="20"/>
          <w:szCs w:val="20"/>
          <w:lang w:eastAsia="es-EC"/>
        </w:rPr>
      </w:pPr>
    </w:p>
    <w:p w:rsidR="00B80195" w:rsidRPr="0050759F" w:rsidRDefault="00B80195" w:rsidP="00B80195">
      <w:pPr>
        <w:ind w:left="709"/>
        <w:jc w:val="both"/>
        <w:rPr>
          <w:rFonts w:ascii="Arial" w:hAnsi="Arial" w:cs="Arial"/>
          <w:sz w:val="20"/>
          <w:szCs w:val="20"/>
          <w:lang w:eastAsia="es-EC"/>
        </w:rPr>
      </w:pPr>
      <w:r>
        <w:rPr>
          <w:rFonts w:ascii="Arial" w:hAnsi="Arial" w:cs="Arial"/>
          <w:sz w:val="20"/>
          <w:szCs w:val="20"/>
          <w:lang w:eastAsia="es-EC"/>
        </w:rPr>
        <w:t xml:space="preserve">El mobiliario, vehículos y equipos </w:t>
      </w:r>
      <w:r w:rsidRPr="0050759F">
        <w:rPr>
          <w:rFonts w:ascii="Arial" w:hAnsi="Arial" w:cs="Arial"/>
          <w:sz w:val="20"/>
          <w:szCs w:val="20"/>
          <w:lang w:eastAsia="es-EC"/>
        </w:rPr>
        <w:t>se deprecian utilizando el método de línea recta, en base a la vida útil estimada, cuyos años de vida son como sigue:</w:t>
      </w:r>
    </w:p>
    <w:p w:rsidR="00B80195" w:rsidRPr="0050759F" w:rsidRDefault="00B80195" w:rsidP="00B80195">
      <w:pPr>
        <w:ind w:left="709"/>
        <w:jc w:val="both"/>
        <w:rPr>
          <w:rFonts w:ascii="Arial" w:hAnsi="Arial" w:cs="Arial"/>
          <w:sz w:val="20"/>
          <w:szCs w:val="20"/>
        </w:rPr>
      </w:pPr>
    </w:p>
    <w:p w:rsidR="00B80195" w:rsidRDefault="00A3278A" w:rsidP="00B80195">
      <w:pPr>
        <w:tabs>
          <w:tab w:val="left" w:pos="567"/>
          <w:tab w:val="center" w:pos="5954"/>
        </w:tabs>
        <w:ind w:left="709"/>
        <w:jc w:val="both"/>
        <w:rPr>
          <w:rFonts w:ascii="Arial" w:hAnsi="Arial" w:cs="Arial"/>
          <w:sz w:val="20"/>
          <w:szCs w:val="20"/>
          <w:lang w:val="es-ES_tradnl" w:eastAsia="es-EC"/>
        </w:rPr>
      </w:pPr>
      <w:r>
        <w:rPr>
          <w:rFonts w:ascii="Arial" w:hAnsi="Arial" w:cs="Arial"/>
          <w:sz w:val="20"/>
          <w:szCs w:val="20"/>
          <w:lang w:val="es-ES_tradnl" w:eastAsia="es-EC"/>
        </w:rPr>
        <w:t>Muebles y equipos de operación</w:t>
      </w:r>
      <w:r w:rsidR="00B80195">
        <w:rPr>
          <w:rFonts w:ascii="Arial" w:hAnsi="Arial" w:cs="Arial"/>
          <w:sz w:val="20"/>
          <w:szCs w:val="20"/>
          <w:lang w:val="es-ES_tradnl" w:eastAsia="es-EC"/>
        </w:rPr>
        <w:tab/>
        <w:t>10</w:t>
      </w:r>
      <w:r>
        <w:rPr>
          <w:rFonts w:ascii="Arial" w:hAnsi="Arial" w:cs="Arial"/>
          <w:sz w:val="20"/>
          <w:szCs w:val="20"/>
          <w:lang w:val="es-ES_tradnl" w:eastAsia="es-EC"/>
        </w:rPr>
        <w:t xml:space="preserve"> y 15</w:t>
      </w:r>
    </w:p>
    <w:p w:rsidR="00B80195" w:rsidRDefault="00A3278A" w:rsidP="00B80195">
      <w:pPr>
        <w:tabs>
          <w:tab w:val="left" w:pos="567"/>
          <w:tab w:val="center" w:pos="5954"/>
        </w:tabs>
        <w:ind w:left="709"/>
        <w:jc w:val="both"/>
        <w:rPr>
          <w:rFonts w:ascii="Arial" w:hAnsi="Arial" w:cs="Arial"/>
          <w:sz w:val="20"/>
          <w:szCs w:val="20"/>
          <w:lang w:val="es-ES_tradnl" w:eastAsia="es-EC"/>
        </w:rPr>
      </w:pPr>
      <w:r>
        <w:rPr>
          <w:rFonts w:ascii="Arial" w:hAnsi="Arial" w:cs="Arial"/>
          <w:sz w:val="20"/>
          <w:szCs w:val="20"/>
          <w:lang w:val="es-ES_tradnl" w:eastAsia="es-EC"/>
        </w:rPr>
        <w:t>Edificios e Instalaciones</w:t>
      </w:r>
      <w:r w:rsidR="00E47673">
        <w:rPr>
          <w:rFonts w:ascii="Arial" w:hAnsi="Arial" w:cs="Arial"/>
          <w:sz w:val="20"/>
          <w:szCs w:val="20"/>
          <w:lang w:val="es-ES_tradnl" w:eastAsia="es-EC"/>
        </w:rPr>
        <w:tab/>
        <w:t>2</w:t>
      </w:r>
      <w:r w:rsidR="00B80195">
        <w:rPr>
          <w:rFonts w:ascii="Arial" w:hAnsi="Arial" w:cs="Arial"/>
          <w:sz w:val="20"/>
          <w:szCs w:val="20"/>
          <w:lang w:val="es-ES_tradnl" w:eastAsia="es-EC"/>
        </w:rPr>
        <w:t>0</w:t>
      </w:r>
    </w:p>
    <w:p w:rsidR="00B80195" w:rsidRPr="0050759F" w:rsidRDefault="00B80195" w:rsidP="00B80195">
      <w:pPr>
        <w:tabs>
          <w:tab w:val="left" w:pos="567"/>
          <w:tab w:val="center" w:pos="5954"/>
        </w:tabs>
        <w:ind w:left="709"/>
        <w:jc w:val="both"/>
        <w:rPr>
          <w:rFonts w:ascii="Arial" w:hAnsi="Arial" w:cs="Arial"/>
          <w:sz w:val="20"/>
          <w:szCs w:val="20"/>
          <w:lang w:val="es-ES_tradnl" w:eastAsia="es-EC"/>
        </w:rPr>
      </w:pPr>
      <w:r>
        <w:rPr>
          <w:rFonts w:ascii="Arial" w:hAnsi="Arial" w:cs="Arial"/>
          <w:sz w:val="20"/>
          <w:szCs w:val="20"/>
          <w:lang w:val="es-ES_tradnl" w:eastAsia="es-EC"/>
        </w:rPr>
        <w:t>Equipos de computación</w:t>
      </w:r>
      <w:r w:rsidRPr="0050759F">
        <w:rPr>
          <w:rFonts w:ascii="Arial" w:hAnsi="Arial" w:cs="Arial"/>
          <w:sz w:val="20"/>
          <w:szCs w:val="20"/>
          <w:lang w:val="es-ES_tradnl" w:eastAsia="es-EC"/>
        </w:rPr>
        <w:tab/>
      </w:r>
      <w:r>
        <w:rPr>
          <w:rFonts w:ascii="Arial" w:hAnsi="Arial" w:cs="Arial"/>
          <w:sz w:val="20"/>
          <w:szCs w:val="20"/>
          <w:lang w:val="es-ES_tradnl" w:eastAsia="es-EC"/>
        </w:rPr>
        <w:t>3</w:t>
      </w:r>
    </w:p>
    <w:p w:rsidR="00B80195" w:rsidRPr="0050759F" w:rsidRDefault="00B80195" w:rsidP="00B80195">
      <w:pPr>
        <w:ind w:left="709"/>
        <w:jc w:val="both"/>
        <w:rPr>
          <w:rFonts w:ascii="Arial" w:hAnsi="Arial" w:cs="Arial"/>
          <w:sz w:val="20"/>
          <w:szCs w:val="20"/>
        </w:rPr>
      </w:pPr>
      <w:r>
        <w:rPr>
          <w:rFonts w:ascii="Arial" w:hAnsi="Arial" w:cs="Arial"/>
          <w:noProof/>
          <w:sz w:val="20"/>
          <w:szCs w:val="20"/>
          <w:lang w:val="es-EC" w:eastAsia="es-EC"/>
        </w:rPr>
        <mc:AlternateContent>
          <mc:Choice Requires="wps">
            <w:drawing>
              <wp:anchor distT="0" distB="0" distL="114300" distR="114300" simplePos="0" relativeHeight="251663360" behindDoc="0" locked="0" layoutInCell="1" allowOverlap="1" wp14:anchorId="0AB4C74E" wp14:editId="544EA12C">
                <wp:simplePos x="0" y="0"/>
                <wp:positionH relativeFrom="column">
                  <wp:posOffset>3646805</wp:posOffset>
                </wp:positionH>
                <wp:positionV relativeFrom="paragraph">
                  <wp:posOffset>12065</wp:posOffset>
                </wp:positionV>
                <wp:extent cx="344170" cy="635"/>
                <wp:effectExtent l="6985" t="12065" r="10795" b="6350"/>
                <wp:wrapNone/>
                <wp:docPr id="1" name="Conector recto de flecha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4170" cy="63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8E12722" id="_x0000_t32" coordsize="21600,21600" o:spt="32" o:oned="t" path="m,l21600,21600e" filled="f">
                <v:path arrowok="t" fillok="f" o:connecttype="none"/>
                <o:lock v:ext="edit" shapetype="t"/>
              </v:shapetype>
              <v:shape id="Conector recto de flecha 1" o:spid="_x0000_s1026" type="#_x0000_t32" style="position:absolute;margin-left:287.15pt;margin-top:.95pt;width:27.1pt;height:.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" strokeweight=".25pt"/>
            </w:pict>
          </mc:Fallback>
        </mc:AlternateContent>
      </w: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La Compañía no considera ningún valor residual a los activos, debido a que la depreciación de la totalidad del valor en libros es más conservador.</w:t>
      </w:r>
    </w:p>
    <w:p w:rsidR="00B80195" w:rsidRDefault="00B80195" w:rsidP="00B80195">
      <w:pPr>
        <w:ind w:left="709"/>
        <w:jc w:val="both"/>
        <w:rPr>
          <w:rFonts w:ascii="Arial" w:hAnsi="Arial" w:cs="Arial"/>
          <w:sz w:val="20"/>
          <w:szCs w:val="20"/>
          <w:lang w:eastAsia="es-EC"/>
        </w:rPr>
      </w:pPr>
    </w:p>
    <w:p w:rsidR="00B80195" w:rsidRPr="002925F6"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El método de depreciación, la vida útil y de los valores residuales son revisados en forma anual y ajustada en su caso.</w:t>
      </w:r>
    </w:p>
    <w:p w:rsidR="00B80195" w:rsidRPr="0050759F" w:rsidRDefault="00B80195" w:rsidP="00B80195">
      <w:pPr>
        <w:ind w:left="709"/>
        <w:rPr>
          <w:rFonts w:ascii="Arial" w:hAnsi="Arial" w:cs="Arial"/>
          <w:b/>
          <w:sz w:val="20"/>
          <w:szCs w:val="20"/>
          <w:u w:val="single"/>
          <w:lang w:eastAsia="es-EC"/>
        </w:rPr>
      </w:pPr>
    </w:p>
    <w:p w:rsidR="00B80195" w:rsidRPr="004D5031" w:rsidRDefault="00B80195" w:rsidP="00B80195">
      <w:pPr>
        <w:ind w:left="709"/>
        <w:rPr>
          <w:rFonts w:ascii="Arial" w:hAnsi="Arial" w:cs="Arial"/>
          <w:b/>
          <w:sz w:val="20"/>
          <w:szCs w:val="20"/>
          <w:u w:val="single"/>
          <w:lang w:eastAsia="es-EC"/>
        </w:rPr>
      </w:pPr>
      <w:r w:rsidRPr="004D5031">
        <w:rPr>
          <w:rFonts w:ascii="Arial" w:hAnsi="Arial" w:cs="Arial"/>
          <w:b/>
          <w:sz w:val="20"/>
          <w:szCs w:val="20"/>
          <w:u w:val="single"/>
          <w:lang w:eastAsia="es-EC"/>
        </w:rPr>
        <w:t>Retiro y venta</w:t>
      </w:r>
    </w:p>
    <w:p w:rsidR="00B80195" w:rsidRPr="0050759F" w:rsidRDefault="00B80195" w:rsidP="00B80195">
      <w:pPr>
        <w:ind w:left="709"/>
        <w:rPr>
          <w:rFonts w:ascii="Arial" w:hAnsi="Arial" w:cs="Arial"/>
          <w:sz w:val="20"/>
          <w:szCs w:val="20"/>
          <w:lang w:eastAsia="es-EC"/>
        </w:rPr>
      </w:pP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El costo y la depreciación acumulada de</w:t>
      </w:r>
      <w:r>
        <w:rPr>
          <w:rFonts w:ascii="Arial" w:hAnsi="Arial" w:cs="Arial"/>
          <w:sz w:val="20"/>
          <w:szCs w:val="20"/>
          <w:lang w:eastAsia="es-EC"/>
        </w:rPr>
        <w:t xml:space="preserve">l mobiliario, vehículos y equipos </w:t>
      </w:r>
      <w:r w:rsidRPr="0050759F">
        <w:rPr>
          <w:rFonts w:ascii="Arial" w:hAnsi="Arial" w:cs="Arial"/>
          <w:sz w:val="20"/>
          <w:szCs w:val="20"/>
          <w:lang w:eastAsia="es-EC"/>
        </w:rPr>
        <w:t>retirados se reducen de las cuentas respectivas y la diferencia se reconoce en los resultados del ejercicio en el cual se origina la transacción.</w:t>
      </w:r>
    </w:p>
    <w:p w:rsidR="00B80195" w:rsidRPr="0050759F" w:rsidRDefault="00B80195" w:rsidP="00B80195">
      <w:pPr>
        <w:ind w:left="709"/>
        <w:jc w:val="both"/>
        <w:rPr>
          <w:rFonts w:ascii="Arial" w:hAnsi="Arial" w:cs="Arial"/>
          <w:sz w:val="20"/>
          <w:szCs w:val="20"/>
          <w:lang w:eastAsia="es-EC"/>
        </w:rPr>
      </w:pPr>
    </w:p>
    <w:p w:rsidR="00B80195"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 xml:space="preserve">Cuando el valor en libros de un activo fijo excede a su monto recuperable, este es reducido inmediatamente hasta su valor recuperable. </w:t>
      </w:r>
    </w:p>
    <w:p w:rsidR="00B80195" w:rsidRDefault="00B80195" w:rsidP="00B80195">
      <w:pPr>
        <w:ind w:left="709"/>
        <w:jc w:val="both"/>
        <w:rPr>
          <w:rFonts w:ascii="Arial" w:hAnsi="Arial" w:cs="Arial"/>
          <w:sz w:val="20"/>
          <w:szCs w:val="20"/>
          <w:lang w:eastAsia="es-EC"/>
        </w:rPr>
      </w:pPr>
    </w:p>
    <w:p w:rsidR="00AD2854" w:rsidRDefault="00AD2854" w:rsidP="00B80195">
      <w:pPr>
        <w:ind w:left="709"/>
        <w:jc w:val="both"/>
        <w:rPr>
          <w:rFonts w:ascii="Arial" w:hAnsi="Arial" w:cs="Arial"/>
          <w:sz w:val="20"/>
          <w:szCs w:val="20"/>
          <w:lang w:eastAsia="es-EC"/>
        </w:rPr>
      </w:pPr>
    </w:p>
    <w:p w:rsidR="00AD2854" w:rsidRDefault="00AD2854" w:rsidP="00B80195">
      <w:pPr>
        <w:ind w:left="709"/>
        <w:jc w:val="both"/>
        <w:rPr>
          <w:rFonts w:ascii="Arial" w:hAnsi="Arial" w:cs="Arial"/>
          <w:sz w:val="20"/>
          <w:szCs w:val="20"/>
          <w:lang w:eastAsia="es-EC"/>
        </w:rPr>
      </w:pPr>
    </w:p>
    <w:p w:rsidR="00B80195" w:rsidRPr="00FB760E" w:rsidRDefault="00B80195" w:rsidP="00161D0E">
      <w:pPr>
        <w:pStyle w:val="Prrafodelista"/>
        <w:numPr>
          <w:ilvl w:val="0"/>
          <w:numId w:val="25"/>
        </w:numPr>
        <w:tabs>
          <w:tab w:val="left" w:pos="709"/>
        </w:tabs>
        <w:spacing w:before="0" w:after="0"/>
        <w:ind w:left="0" w:firstLine="0"/>
        <w:rPr>
          <w:rFonts w:ascii="Arial" w:hAnsi="Arial" w:cs="Arial"/>
          <w:b/>
          <w:bCs/>
          <w:snapToGrid w:val="0"/>
          <w:sz w:val="20"/>
          <w:szCs w:val="20"/>
          <w:lang w:eastAsia="en-US"/>
        </w:rPr>
      </w:pPr>
      <w:r w:rsidRPr="00FB760E">
        <w:rPr>
          <w:rFonts w:ascii="Arial" w:hAnsi="Arial" w:cs="Arial"/>
          <w:b/>
          <w:bCs/>
          <w:snapToGrid w:val="0"/>
          <w:sz w:val="20"/>
          <w:szCs w:val="20"/>
          <w:lang w:eastAsia="en-US"/>
        </w:rPr>
        <w:lastRenderedPageBreak/>
        <w:t>Arrendamientos</w:t>
      </w:r>
    </w:p>
    <w:p w:rsidR="00B80195" w:rsidRPr="00FB760E" w:rsidRDefault="00B80195" w:rsidP="00B80195">
      <w:pPr>
        <w:pStyle w:val="Prrafodelista"/>
        <w:tabs>
          <w:tab w:val="left" w:pos="709"/>
        </w:tabs>
        <w:spacing w:before="0" w:after="0"/>
        <w:ind w:left="0"/>
        <w:rPr>
          <w:rFonts w:ascii="Arial" w:hAnsi="Arial" w:cs="Arial"/>
          <w:b/>
          <w:bCs/>
          <w:snapToGrid w:val="0"/>
          <w:sz w:val="20"/>
          <w:szCs w:val="20"/>
          <w:lang w:eastAsia="en-US"/>
        </w:rPr>
      </w:pPr>
      <w:r w:rsidRPr="00FB760E">
        <w:rPr>
          <w:rFonts w:ascii="Arial" w:hAnsi="Arial" w:cs="Arial"/>
          <w:b/>
          <w:bCs/>
          <w:snapToGrid w:val="0"/>
          <w:sz w:val="20"/>
          <w:szCs w:val="20"/>
          <w:lang w:eastAsia="en-US"/>
        </w:rPr>
        <w:tab/>
      </w:r>
    </w:p>
    <w:p w:rsidR="00B80195" w:rsidRPr="000F3133" w:rsidRDefault="00B80195" w:rsidP="00B80195">
      <w:pPr>
        <w:tabs>
          <w:tab w:val="left" w:pos="709"/>
        </w:tabs>
        <w:ind w:left="709"/>
        <w:jc w:val="both"/>
        <w:rPr>
          <w:rFonts w:ascii="Arial" w:hAnsi="Arial" w:cs="Arial"/>
          <w:sz w:val="20"/>
          <w:szCs w:val="20"/>
        </w:rPr>
      </w:pPr>
      <w:r w:rsidRPr="000F3133">
        <w:rPr>
          <w:rFonts w:ascii="Arial" w:hAnsi="Arial" w:cs="Arial"/>
          <w:sz w:val="20"/>
          <w:szCs w:val="20"/>
        </w:rPr>
        <w:t>Un arrendamiento se clasific</w:t>
      </w:r>
      <w:r>
        <w:rPr>
          <w:rFonts w:ascii="Arial" w:hAnsi="Arial" w:cs="Arial"/>
          <w:sz w:val="20"/>
          <w:szCs w:val="20"/>
        </w:rPr>
        <w:t xml:space="preserve">a en la fecha de inicio como </w:t>
      </w:r>
      <w:r w:rsidRPr="000F3133">
        <w:rPr>
          <w:rFonts w:ascii="Arial" w:hAnsi="Arial" w:cs="Arial"/>
          <w:sz w:val="20"/>
          <w:szCs w:val="20"/>
        </w:rPr>
        <w:t>arrendamiento financiero o un arrendamiento operativo. Un arrendamiento que transfiere sustancialmente todos los riesgos y ventajas inhe</w:t>
      </w:r>
      <w:r>
        <w:rPr>
          <w:rFonts w:ascii="Arial" w:hAnsi="Arial" w:cs="Arial"/>
          <w:sz w:val="20"/>
          <w:szCs w:val="20"/>
        </w:rPr>
        <w:t xml:space="preserve">rentes a la propiedad </w:t>
      </w:r>
      <w:r w:rsidRPr="000F3133">
        <w:rPr>
          <w:rFonts w:ascii="Arial" w:hAnsi="Arial" w:cs="Arial"/>
          <w:sz w:val="20"/>
          <w:szCs w:val="20"/>
        </w:rPr>
        <w:t>se clasifica como un arrendamiento financiero.</w:t>
      </w:r>
    </w:p>
    <w:p w:rsidR="00B80195" w:rsidRPr="000F3133" w:rsidRDefault="00B80195" w:rsidP="00B80195">
      <w:pPr>
        <w:tabs>
          <w:tab w:val="left" w:pos="709"/>
        </w:tabs>
        <w:ind w:left="709"/>
        <w:jc w:val="both"/>
        <w:rPr>
          <w:rFonts w:ascii="Arial" w:hAnsi="Arial" w:cs="Arial"/>
          <w:sz w:val="20"/>
          <w:szCs w:val="20"/>
        </w:rPr>
      </w:pPr>
    </w:p>
    <w:p w:rsidR="00B80195" w:rsidRPr="000F3133" w:rsidRDefault="00B80195" w:rsidP="00B80195">
      <w:pPr>
        <w:tabs>
          <w:tab w:val="left" w:pos="709"/>
        </w:tabs>
        <w:ind w:left="709"/>
        <w:jc w:val="both"/>
        <w:rPr>
          <w:rFonts w:ascii="Arial" w:hAnsi="Arial" w:cs="Arial"/>
          <w:sz w:val="20"/>
          <w:szCs w:val="20"/>
        </w:rPr>
      </w:pPr>
      <w:r w:rsidRPr="000F3133">
        <w:rPr>
          <w:rFonts w:ascii="Arial" w:hAnsi="Arial" w:cs="Arial"/>
          <w:sz w:val="20"/>
          <w:szCs w:val="20"/>
        </w:rPr>
        <w:t>Los arrendamientos financieros se capitalizan al inicio del arrendamiento al valor razonable a la fecha de inicio de la propiedad arrendada o, si es menor, al valor presente de los pagos mínimos del arrendamiento. Los pagos de arrendamiento se prorratean entre los cargos financieros y la reducción del pasivo por arrendamiento a fin de lograr una tasa de interés constante sobre el saldo restante del pasivo. Los cargos financieros se reconocen en los costos financieros en el estado de resultados. Un activo arrendado se deprecia a lo largo de la vida útil del activo. Sin embargo, si no existe una certeza razonable de que la Compañía no obtendrá la propiedad al final del plazo del arrendamiento, el activo se depreciará a lo largo de la vida útil estimada más corta del activo y el plazo del arrendamiento.</w:t>
      </w:r>
    </w:p>
    <w:p w:rsidR="00D22974" w:rsidRDefault="00D22974" w:rsidP="00B80195">
      <w:pPr>
        <w:ind w:left="709"/>
        <w:jc w:val="both"/>
        <w:rPr>
          <w:rFonts w:ascii="Arial" w:hAnsi="Arial" w:cs="Arial"/>
          <w:sz w:val="20"/>
          <w:szCs w:val="20"/>
        </w:rPr>
      </w:pPr>
    </w:p>
    <w:p w:rsidR="00B80195" w:rsidRPr="000F3133" w:rsidRDefault="00B80195" w:rsidP="00B80195">
      <w:pPr>
        <w:ind w:left="709"/>
        <w:jc w:val="both"/>
        <w:rPr>
          <w:rFonts w:ascii="Arial" w:hAnsi="Arial" w:cs="Arial"/>
          <w:sz w:val="20"/>
          <w:szCs w:val="20"/>
        </w:rPr>
      </w:pPr>
      <w:r w:rsidRPr="000F3133">
        <w:rPr>
          <w:rFonts w:ascii="Arial" w:hAnsi="Arial" w:cs="Arial"/>
          <w:sz w:val="20"/>
          <w:szCs w:val="20"/>
        </w:rPr>
        <w:t xml:space="preserve">Un arrendamiento operativo es un arrendamiento que no es un arrendamiento financiero. Los pagos de arrendamiento operativo se reconocen como un gasto operativo en el estado de ganancias o pérdidas en forma lineal durante el plazo del arrendamiento. </w:t>
      </w:r>
    </w:p>
    <w:p w:rsidR="00B80195" w:rsidRPr="0050759F" w:rsidRDefault="00B80195" w:rsidP="00B80195">
      <w:pPr>
        <w:jc w:val="both"/>
        <w:rPr>
          <w:rFonts w:ascii="Arial" w:hAnsi="Arial" w:cs="Arial"/>
          <w:sz w:val="20"/>
          <w:szCs w:val="20"/>
          <w:lang w:eastAsia="es-EC"/>
        </w:rPr>
      </w:pPr>
    </w:p>
    <w:p w:rsidR="00B80195" w:rsidRPr="0050759F" w:rsidRDefault="00B80195" w:rsidP="00161D0E">
      <w:pPr>
        <w:numPr>
          <w:ilvl w:val="0"/>
          <w:numId w:val="5"/>
        </w:numPr>
        <w:ind w:left="709" w:hanging="709"/>
        <w:jc w:val="both"/>
        <w:rPr>
          <w:rFonts w:ascii="Arial" w:hAnsi="Arial" w:cs="Arial"/>
          <w:sz w:val="20"/>
          <w:szCs w:val="20"/>
        </w:rPr>
      </w:pPr>
      <w:r w:rsidRPr="0050759F">
        <w:rPr>
          <w:rFonts w:ascii="Arial" w:hAnsi="Arial" w:cs="Arial"/>
          <w:b/>
          <w:bCs/>
          <w:snapToGrid w:val="0"/>
          <w:sz w:val="20"/>
          <w:szCs w:val="20"/>
          <w:lang w:eastAsia="en-US"/>
        </w:rPr>
        <w:t xml:space="preserve">Reconocimiento de ingresos </w:t>
      </w:r>
    </w:p>
    <w:p w:rsidR="00B80195" w:rsidRPr="0050759F" w:rsidRDefault="00B80195" w:rsidP="00B80195">
      <w:pPr>
        <w:tabs>
          <w:tab w:val="num" w:pos="567"/>
        </w:tabs>
        <w:ind w:left="709"/>
        <w:jc w:val="both"/>
        <w:rPr>
          <w:rFonts w:ascii="Arial" w:hAnsi="Arial" w:cs="Arial"/>
          <w:sz w:val="20"/>
          <w:szCs w:val="20"/>
        </w:rPr>
      </w:pP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 xml:space="preserve">La Compañía reconocerá los ingresos de actividades ordinarias  procedentes de la venta de bienes cuando se satisfagan todas y cada una de las siguientes condiciones: (i) la entidad ha transferido al comprador los riesgos y ventajas, de tipo significativo; (ii) no conserva para su ninguna implicación en la gestión corriente de los bienes vendidos, en el grado usualmente asociado con la propiedad, ni retiene le control efectivo sobre </w:t>
      </w:r>
      <w:r>
        <w:rPr>
          <w:rFonts w:ascii="Arial" w:hAnsi="Arial" w:cs="Arial"/>
          <w:sz w:val="20"/>
          <w:szCs w:val="20"/>
          <w:lang w:eastAsia="es-EC"/>
        </w:rPr>
        <w:t>los mismos; (iii) el importe pue</w:t>
      </w:r>
      <w:r w:rsidRPr="0050759F">
        <w:rPr>
          <w:rFonts w:ascii="Arial" w:hAnsi="Arial" w:cs="Arial"/>
          <w:sz w:val="20"/>
          <w:szCs w:val="20"/>
          <w:lang w:eastAsia="es-EC"/>
        </w:rPr>
        <w:t>de medirse fiabilidad; (iv) sea probable que la entidad obtenga beneficios económicos asociados con la transacción</w:t>
      </w:r>
      <w:r>
        <w:rPr>
          <w:rFonts w:ascii="Arial" w:hAnsi="Arial" w:cs="Arial"/>
          <w:sz w:val="20"/>
          <w:szCs w:val="20"/>
          <w:lang w:eastAsia="es-EC"/>
        </w:rPr>
        <w:t>;</w:t>
      </w:r>
      <w:r w:rsidRPr="0050759F">
        <w:rPr>
          <w:rFonts w:ascii="Arial" w:hAnsi="Arial" w:cs="Arial"/>
          <w:sz w:val="20"/>
          <w:szCs w:val="20"/>
          <w:lang w:eastAsia="es-EC"/>
        </w:rPr>
        <w:t xml:space="preserve"> y</w:t>
      </w:r>
      <w:r>
        <w:rPr>
          <w:rFonts w:ascii="Arial" w:hAnsi="Arial" w:cs="Arial"/>
          <w:sz w:val="20"/>
          <w:szCs w:val="20"/>
          <w:lang w:eastAsia="es-EC"/>
        </w:rPr>
        <w:t>,</w:t>
      </w:r>
      <w:r w:rsidRPr="0050759F">
        <w:rPr>
          <w:rFonts w:ascii="Arial" w:hAnsi="Arial" w:cs="Arial"/>
          <w:sz w:val="20"/>
          <w:szCs w:val="20"/>
          <w:lang w:eastAsia="es-EC"/>
        </w:rPr>
        <w:t xml:space="preserve"> (v) los costos incurridos, o por incurrir, en relación con la transacción pueden ser medidos  o por incurrir, en relación con la transacción pueden ser medidos con fiabilidad.</w:t>
      </w:r>
    </w:p>
    <w:p w:rsidR="00B80195" w:rsidRPr="0050759F" w:rsidRDefault="00B80195" w:rsidP="00B80195">
      <w:pPr>
        <w:ind w:left="709"/>
        <w:jc w:val="both"/>
        <w:rPr>
          <w:rFonts w:ascii="Arial" w:hAnsi="Arial" w:cs="Arial"/>
          <w:sz w:val="20"/>
          <w:szCs w:val="20"/>
          <w:lang w:eastAsia="es-EC"/>
        </w:rPr>
      </w:pPr>
    </w:p>
    <w:p w:rsidR="00B80195" w:rsidRPr="0050759F" w:rsidRDefault="00B80195" w:rsidP="00B80195">
      <w:pPr>
        <w:tabs>
          <w:tab w:val="left" w:pos="1134"/>
        </w:tabs>
        <w:ind w:left="709"/>
        <w:jc w:val="both"/>
        <w:rPr>
          <w:rFonts w:ascii="Arial" w:hAnsi="Arial" w:cs="Arial"/>
          <w:sz w:val="20"/>
          <w:szCs w:val="20"/>
          <w:lang w:eastAsia="es-EC"/>
        </w:rPr>
      </w:pPr>
      <w:r w:rsidRPr="0050759F">
        <w:rPr>
          <w:rFonts w:ascii="Arial" w:hAnsi="Arial" w:cs="Arial"/>
          <w:sz w:val="20"/>
          <w:szCs w:val="20"/>
          <w:lang w:eastAsia="es-EC"/>
        </w:rPr>
        <w:t>Los ingresos por servicios se reconocen en los resultados en base al avance o progreso de los servicios prestados a la fecha del balance y no existen importantes incertidumbres con respecto a la recuperación de los importes adeudados.</w:t>
      </w:r>
    </w:p>
    <w:p w:rsidR="00B80195" w:rsidRPr="0050759F" w:rsidRDefault="00B80195" w:rsidP="00B80195">
      <w:pPr>
        <w:ind w:left="567"/>
        <w:jc w:val="both"/>
        <w:rPr>
          <w:rFonts w:ascii="Arial" w:hAnsi="Arial" w:cs="Arial"/>
          <w:sz w:val="20"/>
          <w:szCs w:val="20"/>
          <w:lang w:eastAsia="es-EC"/>
        </w:rPr>
      </w:pPr>
    </w:p>
    <w:p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Deterioro en el valor de activos no corrientes</w:t>
      </w:r>
    </w:p>
    <w:p w:rsidR="00B80195" w:rsidRPr="0050759F" w:rsidRDefault="00B80195" w:rsidP="00B80195">
      <w:pPr>
        <w:ind w:left="709" w:hanging="709"/>
        <w:jc w:val="both"/>
        <w:rPr>
          <w:rFonts w:ascii="Arial" w:hAnsi="Arial" w:cs="Arial"/>
          <w:sz w:val="20"/>
          <w:szCs w:val="20"/>
          <w:lang w:eastAsia="es-EC"/>
        </w:rPr>
      </w:pPr>
    </w:p>
    <w:p w:rsidR="00B80195" w:rsidRPr="0050759F" w:rsidRDefault="00B80195" w:rsidP="00B80195">
      <w:pPr>
        <w:pStyle w:val="Cuerpodeltexto20"/>
        <w:shd w:val="clear" w:color="auto" w:fill="auto"/>
        <w:spacing w:line="240" w:lineRule="auto"/>
        <w:ind w:left="709" w:firstLine="0"/>
        <w:jc w:val="both"/>
        <w:rPr>
          <w:sz w:val="20"/>
          <w:szCs w:val="20"/>
        </w:rPr>
      </w:pPr>
      <w:r w:rsidRPr="0050759F">
        <w:rPr>
          <w:sz w:val="20"/>
          <w:szCs w:val="20"/>
        </w:rPr>
        <w:t xml:space="preserve">Los activos no financieros de larga </w:t>
      </w:r>
      <w:proofErr w:type="gramStart"/>
      <w:r w:rsidRPr="0050759F">
        <w:rPr>
          <w:sz w:val="20"/>
          <w:szCs w:val="20"/>
        </w:rPr>
        <w:t xml:space="preserve">vida  </w:t>
      </w:r>
      <w:r>
        <w:rPr>
          <w:sz w:val="20"/>
          <w:szCs w:val="20"/>
        </w:rPr>
        <w:t>(</w:t>
      </w:r>
      <w:proofErr w:type="gramEnd"/>
      <w:r w:rsidRPr="0050759F">
        <w:rPr>
          <w:sz w:val="20"/>
          <w:szCs w:val="20"/>
        </w:rPr>
        <w:t>edificios, maquinaria, equipos, etc.) son revisados por deterioro al cierre de los estados financieros, cuando existen eventos o cambios en las circunstancias que indican que el valor en libros podría no ser recuperable. La pérdida por deterioro en el valor en libros de los activos de larga vida existe cuando este excede su importe recuperable. El valor en uso de los activos no financieros de larga vida se calcula inicialmente mediante la suma de los flujos de caja descontados que se esperan obtener como resultado de la utilización del activo. Para los efectos de evaluación del deterioro, los activos se agrupan en los niveles más bajos para los cuales existen flujos de caja identificables por separado (unidades generadoras de efectivo).</w:t>
      </w:r>
    </w:p>
    <w:p w:rsidR="00B80195" w:rsidRPr="0050759F" w:rsidRDefault="00B80195" w:rsidP="00B80195">
      <w:pPr>
        <w:pStyle w:val="Cuerpodeltexto20"/>
        <w:shd w:val="clear" w:color="auto" w:fill="auto"/>
        <w:spacing w:line="240" w:lineRule="auto"/>
        <w:ind w:left="709" w:firstLine="0"/>
        <w:jc w:val="both"/>
        <w:rPr>
          <w:sz w:val="20"/>
          <w:szCs w:val="20"/>
        </w:rPr>
      </w:pPr>
    </w:p>
    <w:p w:rsidR="00B80195" w:rsidRPr="0050759F" w:rsidRDefault="00B80195" w:rsidP="00B80195">
      <w:pPr>
        <w:pStyle w:val="Cuerpodeltexto20"/>
        <w:shd w:val="clear" w:color="auto" w:fill="auto"/>
        <w:spacing w:line="240" w:lineRule="auto"/>
        <w:ind w:left="709" w:firstLine="0"/>
        <w:jc w:val="both"/>
        <w:rPr>
          <w:sz w:val="20"/>
          <w:szCs w:val="20"/>
        </w:rPr>
      </w:pPr>
      <w:r w:rsidRPr="0050759F">
        <w:rPr>
          <w:sz w:val="20"/>
          <w:szCs w:val="20"/>
        </w:rPr>
        <w:t>El importe recuperable es el mayor valor entre el valor razonable menos los costos de venta y el valor de uso. Al evaluar el valor de uso, los flujos de efectivo futuros se descuentan a su valor actual utilizando una tasa de descuento que refleje el costo medio ponderado del capital calculado conforme al riesgo asociado al país en el que opera la Compañía.</w:t>
      </w:r>
    </w:p>
    <w:p w:rsidR="00B80195" w:rsidRDefault="00B80195" w:rsidP="00B80195">
      <w:pPr>
        <w:pStyle w:val="Cuerpodeltexto20"/>
        <w:shd w:val="clear" w:color="auto" w:fill="auto"/>
        <w:spacing w:line="240" w:lineRule="auto"/>
        <w:ind w:left="709" w:firstLine="0"/>
        <w:jc w:val="both"/>
        <w:rPr>
          <w:sz w:val="20"/>
          <w:szCs w:val="20"/>
        </w:rPr>
      </w:pPr>
    </w:p>
    <w:p w:rsidR="007E74A5" w:rsidRPr="0050759F" w:rsidRDefault="007E74A5" w:rsidP="00B80195">
      <w:pPr>
        <w:pStyle w:val="Cuerpodeltexto20"/>
        <w:shd w:val="clear" w:color="auto" w:fill="auto"/>
        <w:spacing w:line="240" w:lineRule="auto"/>
        <w:ind w:left="709" w:firstLine="0"/>
        <w:jc w:val="both"/>
        <w:rPr>
          <w:sz w:val="20"/>
          <w:szCs w:val="20"/>
        </w:rPr>
      </w:pPr>
    </w:p>
    <w:p w:rsidR="00B80195" w:rsidRPr="0050759F" w:rsidRDefault="00B80195" w:rsidP="00B80195">
      <w:pPr>
        <w:pStyle w:val="Cuerpodeltexto20"/>
        <w:shd w:val="clear" w:color="auto" w:fill="auto"/>
        <w:spacing w:line="240" w:lineRule="auto"/>
        <w:ind w:left="709" w:firstLine="0"/>
        <w:jc w:val="both"/>
        <w:rPr>
          <w:sz w:val="20"/>
          <w:szCs w:val="20"/>
        </w:rPr>
      </w:pPr>
      <w:r w:rsidRPr="0050759F">
        <w:rPr>
          <w:sz w:val="20"/>
          <w:szCs w:val="20"/>
        </w:rPr>
        <w:lastRenderedPageBreak/>
        <w:t>En el evento de que el valor recuperable de un activo (o una unidad generadora de efectivo) es inferior a su valor en libros del activo (o de la unidad generadora de efectivo) este se reduce a su valor recuperable, y una pérdida por deterioro se reconoce en el estado de resultados integrales.</w:t>
      </w:r>
    </w:p>
    <w:p w:rsidR="00B80195" w:rsidRPr="0050759F" w:rsidRDefault="00B80195" w:rsidP="00B80195">
      <w:pPr>
        <w:pStyle w:val="Cuerpodeltexto20"/>
        <w:shd w:val="clear" w:color="auto" w:fill="auto"/>
        <w:spacing w:line="240" w:lineRule="auto"/>
        <w:ind w:left="709" w:firstLine="0"/>
        <w:jc w:val="both"/>
        <w:rPr>
          <w:sz w:val="20"/>
          <w:szCs w:val="20"/>
        </w:rPr>
      </w:pPr>
    </w:p>
    <w:p w:rsidR="00B80195" w:rsidRPr="0050759F" w:rsidRDefault="00B80195" w:rsidP="00B80195">
      <w:pPr>
        <w:pStyle w:val="Cuerpodeltexto20"/>
        <w:shd w:val="clear" w:color="auto" w:fill="auto"/>
        <w:spacing w:line="240" w:lineRule="auto"/>
        <w:ind w:left="709" w:firstLine="0"/>
        <w:jc w:val="both"/>
        <w:rPr>
          <w:sz w:val="20"/>
          <w:szCs w:val="20"/>
        </w:rPr>
      </w:pPr>
      <w:r w:rsidRPr="0050759F">
        <w:rPr>
          <w:sz w:val="20"/>
          <w:szCs w:val="20"/>
        </w:rPr>
        <w:t>La base para la depreciación o amortización futura de los activos deteriorados debe tener en cuenta la reducción en el valor del activo como consecuencia de las pérdidas por deterioro acumuladas.</w:t>
      </w:r>
    </w:p>
    <w:p w:rsidR="00B80195" w:rsidRPr="0050759F" w:rsidRDefault="00B80195" w:rsidP="00B80195">
      <w:pPr>
        <w:pStyle w:val="Cuerpodeltexto20"/>
        <w:shd w:val="clear" w:color="auto" w:fill="auto"/>
        <w:spacing w:line="240" w:lineRule="auto"/>
        <w:ind w:left="709" w:firstLine="0"/>
        <w:jc w:val="both"/>
        <w:rPr>
          <w:sz w:val="20"/>
          <w:szCs w:val="20"/>
        </w:rPr>
      </w:pPr>
    </w:p>
    <w:p w:rsidR="00D22974" w:rsidRDefault="00B80195" w:rsidP="00B80195">
      <w:pPr>
        <w:pStyle w:val="Cuerpodeltexto20"/>
        <w:shd w:val="clear" w:color="auto" w:fill="auto"/>
        <w:spacing w:line="240" w:lineRule="auto"/>
        <w:ind w:left="709" w:firstLine="0"/>
        <w:jc w:val="both"/>
        <w:rPr>
          <w:sz w:val="20"/>
          <w:szCs w:val="20"/>
        </w:rPr>
      </w:pPr>
      <w:r w:rsidRPr="0050759F">
        <w:rPr>
          <w:sz w:val="20"/>
          <w:szCs w:val="20"/>
        </w:rPr>
        <w:t xml:space="preserve">Cuando una pérdida por deterioro debe ser revertida en forma posterior, el valor en libros del activo (o de la unidad generadora de efectivo) se incrementa a la estimación revisada de su valor recuperable y el valor en libros no supera el valor en libros cuando se determinó la pérdida por deterioro para el activo (o de la unidad generadora de efectivo) en ejercicios anteriores, En </w:t>
      </w:r>
    </w:p>
    <w:p w:rsidR="00D22974" w:rsidRDefault="00D22974" w:rsidP="00B80195">
      <w:pPr>
        <w:pStyle w:val="Cuerpodeltexto20"/>
        <w:shd w:val="clear" w:color="auto" w:fill="auto"/>
        <w:spacing w:line="240" w:lineRule="auto"/>
        <w:ind w:left="709" w:firstLine="0"/>
        <w:jc w:val="both"/>
        <w:rPr>
          <w:sz w:val="20"/>
          <w:szCs w:val="20"/>
        </w:rPr>
      </w:pPr>
    </w:p>
    <w:p w:rsidR="00B80195" w:rsidRPr="0050759F" w:rsidRDefault="00B80195" w:rsidP="00B80195">
      <w:pPr>
        <w:pStyle w:val="Cuerpodeltexto20"/>
        <w:shd w:val="clear" w:color="auto" w:fill="auto"/>
        <w:spacing w:line="240" w:lineRule="auto"/>
        <w:ind w:left="709" w:firstLine="0"/>
        <w:jc w:val="both"/>
        <w:rPr>
          <w:sz w:val="20"/>
          <w:szCs w:val="20"/>
        </w:rPr>
      </w:pPr>
      <w:proofErr w:type="gramStart"/>
      <w:r w:rsidRPr="0050759F">
        <w:rPr>
          <w:sz w:val="20"/>
          <w:szCs w:val="20"/>
        </w:rPr>
        <w:t>caso</w:t>
      </w:r>
      <w:proofErr w:type="gramEnd"/>
      <w:r w:rsidRPr="0050759F">
        <w:rPr>
          <w:sz w:val="20"/>
          <w:szCs w:val="20"/>
        </w:rPr>
        <w:t xml:space="preserve"> de existir, la reversión de una pérdida por deterioro se reconoce en el estado de resultados integrales.</w:t>
      </w:r>
    </w:p>
    <w:p w:rsidR="00B80195" w:rsidRPr="0050759F" w:rsidRDefault="00B80195" w:rsidP="00B80195">
      <w:pPr>
        <w:pStyle w:val="Cuerpodeltexto20"/>
        <w:shd w:val="clear" w:color="auto" w:fill="auto"/>
        <w:spacing w:line="240" w:lineRule="auto"/>
        <w:ind w:left="709" w:firstLine="0"/>
        <w:jc w:val="both"/>
        <w:rPr>
          <w:sz w:val="20"/>
          <w:szCs w:val="20"/>
        </w:rPr>
      </w:pPr>
    </w:p>
    <w:p w:rsidR="00B80195" w:rsidRPr="0050759F" w:rsidRDefault="00B80195" w:rsidP="00B80195">
      <w:pPr>
        <w:pStyle w:val="Cuerpodeltexto20"/>
        <w:shd w:val="clear" w:color="auto" w:fill="auto"/>
        <w:spacing w:line="240" w:lineRule="auto"/>
        <w:ind w:left="709" w:firstLine="0"/>
        <w:jc w:val="both"/>
        <w:rPr>
          <w:sz w:val="20"/>
          <w:szCs w:val="20"/>
        </w:rPr>
      </w:pPr>
      <w:r w:rsidRPr="0050759F">
        <w:rPr>
          <w:sz w:val="20"/>
          <w:szCs w:val="20"/>
        </w:rPr>
        <w:t>Los activos no financieros que han sufrido deterioro se revisan para su posible reversión de deterioro en cada periodo sobre el que se informa.</w:t>
      </w:r>
    </w:p>
    <w:p w:rsidR="00B80195" w:rsidRPr="0050759F" w:rsidRDefault="00B80195" w:rsidP="00B80195">
      <w:pPr>
        <w:ind w:left="709"/>
        <w:jc w:val="both"/>
        <w:rPr>
          <w:rFonts w:ascii="Arial" w:hAnsi="Arial" w:cs="Arial"/>
          <w:sz w:val="20"/>
          <w:szCs w:val="20"/>
          <w:lang w:val="es-EC" w:eastAsia="es-EC"/>
        </w:rPr>
      </w:pPr>
    </w:p>
    <w:p w:rsidR="00B80195"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 xml:space="preserve">Las tasas de descuento utilizadas se determinan antes de impuestos y son ajustados por el riesgo país y riesgo de negocio correspondiente. </w:t>
      </w:r>
    </w:p>
    <w:p w:rsidR="00B80195" w:rsidRPr="0050759F" w:rsidRDefault="00B80195" w:rsidP="00B80195">
      <w:pPr>
        <w:ind w:left="709"/>
        <w:jc w:val="both"/>
        <w:rPr>
          <w:rFonts w:ascii="Arial" w:hAnsi="Arial" w:cs="Arial"/>
          <w:sz w:val="20"/>
          <w:szCs w:val="20"/>
          <w:lang w:eastAsia="es-EC"/>
        </w:rPr>
      </w:pPr>
    </w:p>
    <w:p w:rsidR="00B80195" w:rsidRPr="0050759F" w:rsidRDefault="00F01F91" w:rsidP="00B80195">
      <w:pPr>
        <w:ind w:left="709"/>
        <w:jc w:val="both"/>
        <w:rPr>
          <w:rFonts w:ascii="Arial" w:hAnsi="Arial" w:cs="Arial"/>
          <w:sz w:val="20"/>
          <w:szCs w:val="20"/>
          <w:lang w:eastAsia="es-EC"/>
        </w:rPr>
      </w:pPr>
      <w:r>
        <w:rPr>
          <w:rFonts w:ascii="Arial" w:hAnsi="Arial" w:cs="Arial"/>
          <w:sz w:val="20"/>
          <w:szCs w:val="20"/>
          <w:lang w:eastAsia="es-EC"/>
        </w:rPr>
        <w:t>En los ejercicios 2021 y 2020</w:t>
      </w:r>
      <w:r w:rsidR="00B80195" w:rsidRPr="0050759F">
        <w:rPr>
          <w:rFonts w:ascii="Arial" w:hAnsi="Arial" w:cs="Arial"/>
          <w:sz w:val="20"/>
          <w:szCs w:val="20"/>
          <w:lang w:eastAsia="es-EC"/>
        </w:rPr>
        <w:t xml:space="preserve"> no han existido indicios de deterioro de los activos.</w:t>
      </w:r>
    </w:p>
    <w:p w:rsidR="00B80195" w:rsidRPr="0050759F" w:rsidRDefault="00B80195" w:rsidP="00B80195">
      <w:pPr>
        <w:ind w:left="567"/>
        <w:jc w:val="both"/>
        <w:rPr>
          <w:rFonts w:ascii="Arial" w:hAnsi="Arial" w:cs="Arial"/>
          <w:sz w:val="20"/>
          <w:szCs w:val="20"/>
          <w:lang w:eastAsia="es-EC"/>
        </w:rPr>
      </w:pPr>
    </w:p>
    <w:p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Obligaciones por beneficios post empleo</w:t>
      </w:r>
    </w:p>
    <w:p w:rsidR="00B80195" w:rsidRPr="0050759F" w:rsidRDefault="00B80195" w:rsidP="00B80195">
      <w:pPr>
        <w:ind w:left="709" w:hanging="709"/>
        <w:jc w:val="both"/>
        <w:rPr>
          <w:rFonts w:ascii="Arial" w:hAnsi="Arial" w:cs="Arial"/>
          <w:bCs/>
          <w:snapToGrid w:val="0"/>
          <w:sz w:val="20"/>
          <w:szCs w:val="20"/>
          <w:lang w:eastAsia="en-US"/>
        </w:rPr>
      </w:pPr>
    </w:p>
    <w:p w:rsidR="00B80195" w:rsidRPr="0050759F" w:rsidRDefault="00B80195" w:rsidP="00B80195">
      <w:pPr>
        <w:ind w:left="709"/>
        <w:jc w:val="both"/>
        <w:rPr>
          <w:rFonts w:ascii="Arial" w:hAnsi="Arial" w:cs="Arial"/>
          <w:sz w:val="20"/>
          <w:szCs w:val="20"/>
        </w:rPr>
      </w:pPr>
      <w:r w:rsidRPr="0050759F">
        <w:rPr>
          <w:rFonts w:ascii="Arial" w:hAnsi="Arial" w:cs="Arial"/>
          <w:sz w:val="20"/>
          <w:szCs w:val="20"/>
        </w:rPr>
        <w:t>Las obligaciones por beneficios post empleo constituyen provisiones de corto plazo, planes de beneficio definidos y beneficios por terminación anticipada.</w:t>
      </w:r>
    </w:p>
    <w:p w:rsidR="00B80195" w:rsidRPr="0050759F" w:rsidRDefault="00B80195" w:rsidP="00B80195">
      <w:pPr>
        <w:ind w:left="709"/>
        <w:jc w:val="both"/>
        <w:rPr>
          <w:rFonts w:ascii="Arial" w:hAnsi="Arial" w:cs="Arial"/>
          <w:sz w:val="20"/>
          <w:szCs w:val="20"/>
        </w:rPr>
      </w:pPr>
    </w:p>
    <w:p w:rsidR="00B80195" w:rsidRPr="0050759F" w:rsidRDefault="00B80195" w:rsidP="00B80195">
      <w:pPr>
        <w:ind w:left="709"/>
        <w:jc w:val="both"/>
        <w:rPr>
          <w:rFonts w:ascii="Arial" w:hAnsi="Arial" w:cs="Arial"/>
          <w:b/>
          <w:sz w:val="20"/>
          <w:szCs w:val="20"/>
          <w:u w:val="single"/>
        </w:rPr>
      </w:pPr>
      <w:r w:rsidRPr="0050759F">
        <w:rPr>
          <w:rFonts w:ascii="Arial" w:hAnsi="Arial" w:cs="Arial"/>
          <w:b/>
          <w:sz w:val="20"/>
          <w:szCs w:val="20"/>
          <w:u w:val="single"/>
        </w:rPr>
        <w:t>Beneficios de corto plazo</w:t>
      </w:r>
    </w:p>
    <w:p w:rsidR="00B80195" w:rsidRPr="0050759F" w:rsidRDefault="00B80195" w:rsidP="00B80195">
      <w:pPr>
        <w:ind w:left="709"/>
        <w:jc w:val="both"/>
        <w:rPr>
          <w:rFonts w:ascii="Arial" w:hAnsi="Arial" w:cs="Arial"/>
          <w:sz w:val="20"/>
          <w:szCs w:val="20"/>
        </w:rPr>
      </w:pPr>
    </w:p>
    <w:p w:rsidR="00B80195" w:rsidRPr="0050759F" w:rsidRDefault="00B80195" w:rsidP="00B80195">
      <w:pPr>
        <w:ind w:left="709"/>
        <w:jc w:val="both"/>
        <w:rPr>
          <w:rFonts w:ascii="Arial" w:hAnsi="Arial" w:cs="Arial"/>
          <w:sz w:val="20"/>
          <w:szCs w:val="20"/>
        </w:rPr>
      </w:pPr>
      <w:r w:rsidRPr="0050759F">
        <w:rPr>
          <w:rFonts w:ascii="Arial" w:hAnsi="Arial" w:cs="Arial"/>
          <w:sz w:val="20"/>
          <w:szCs w:val="20"/>
        </w:rPr>
        <w:t>Los beneficios sociales de corto plazo constituyen otros beneficios adicionales a los sueldos y salarios pagados en forma mensual y que legalmente están establecidos en los contratos de trabajo o por las leyes laborales y que son exigibles dentro del año corriente, los cuales se acumulan y se contabilizan en los resultados del período y se disminuyen por los pagos o por el exceso en las provisiones, los cuales se registran en los resultados del período.</w:t>
      </w:r>
    </w:p>
    <w:p w:rsidR="00B80195" w:rsidRDefault="00B80195" w:rsidP="00B80195">
      <w:pPr>
        <w:tabs>
          <w:tab w:val="num" w:pos="567"/>
        </w:tabs>
        <w:ind w:left="709"/>
        <w:jc w:val="both"/>
        <w:rPr>
          <w:rFonts w:ascii="Arial" w:hAnsi="Arial" w:cs="Arial"/>
          <w:spacing w:val="-3"/>
          <w:sz w:val="20"/>
          <w:szCs w:val="20"/>
        </w:rPr>
      </w:pPr>
    </w:p>
    <w:p w:rsidR="00B80195" w:rsidRPr="0050759F" w:rsidRDefault="00B80195" w:rsidP="00B80195">
      <w:pPr>
        <w:tabs>
          <w:tab w:val="num" w:pos="567"/>
        </w:tabs>
        <w:ind w:left="709"/>
        <w:jc w:val="both"/>
        <w:rPr>
          <w:rFonts w:ascii="Arial" w:hAnsi="Arial" w:cs="Arial"/>
          <w:spacing w:val="-3"/>
          <w:sz w:val="20"/>
          <w:szCs w:val="20"/>
        </w:rPr>
      </w:pPr>
      <w:r w:rsidRPr="0050759F">
        <w:rPr>
          <w:rFonts w:ascii="Arial" w:hAnsi="Arial" w:cs="Arial"/>
          <w:spacing w:val="-3"/>
          <w:sz w:val="20"/>
          <w:szCs w:val="20"/>
        </w:rPr>
        <w:t>Adicionalmente a lo antes mencionado las disposiciones laborales vigentes establecen que los empleados y trabajadores tienen derecho a una participación del 15% sobre las utilidades del año, esta provisión es registrada con cargo a los resultados del ejercicio en que se devenga.</w:t>
      </w:r>
    </w:p>
    <w:p w:rsidR="00B80195" w:rsidRDefault="00B80195" w:rsidP="00B80195">
      <w:pPr>
        <w:ind w:left="567"/>
        <w:jc w:val="both"/>
        <w:rPr>
          <w:rFonts w:ascii="Arial" w:hAnsi="Arial" w:cs="Arial"/>
          <w:sz w:val="20"/>
          <w:szCs w:val="20"/>
        </w:rPr>
      </w:pPr>
    </w:p>
    <w:p w:rsidR="00B80195" w:rsidRPr="0050759F" w:rsidRDefault="00B80195" w:rsidP="00B80195">
      <w:pPr>
        <w:ind w:left="709"/>
        <w:jc w:val="both"/>
        <w:rPr>
          <w:rFonts w:ascii="Arial" w:hAnsi="Arial" w:cs="Arial"/>
          <w:b/>
          <w:sz w:val="20"/>
          <w:szCs w:val="20"/>
          <w:u w:val="single"/>
        </w:rPr>
      </w:pPr>
      <w:r w:rsidRPr="0050759F">
        <w:rPr>
          <w:rFonts w:ascii="Arial" w:hAnsi="Arial" w:cs="Arial"/>
          <w:b/>
          <w:sz w:val="20"/>
          <w:szCs w:val="20"/>
          <w:u w:val="single"/>
        </w:rPr>
        <w:t>Planes de beneficios definidos</w:t>
      </w:r>
    </w:p>
    <w:p w:rsidR="00B80195" w:rsidRPr="0050759F" w:rsidRDefault="00B80195" w:rsidP="00B80195">
      <w:pPr>
        <w:tabs>
          <w:tab w:val="left" w:pos="1134"/>
        </w:tabs>
        <w:ind w:left="709"/>
        <w:jc w:val="both"/>
        <w:rPr>
          <w:rFonts w:ascii="Arial" w:hAnsi="Arial" w:cs="Arial"/>
          <w:sz w:val="20"/>
          <w:szCs w:val="20"/>
        </w:rPr>
      </w:pPr>
    </w:p>
    <w:p w:rsidR="00B80195" w:rsidRPr="0050759F" w:rsidRDefault="00B80195" w:rsidP="00B80195">
      <w:pPr>
        <w:ind w:left="709"/>
        <w:jc w:val="both"/>
        <w:rPr>
          <w:rFonts w:ascii="Arial" w:hAnsi="Arial" w:cs="Arial"/>
          <w:sz w:val="20"/>
          <w:szCs w:val="20"/>
        </w:rPr>
      </w:pPr>
      <w:r w:rsidRPr="0050759F">
        <w:rPr>
          <w:rFonts w:ascii="Arial" w:hAnsi="Arial" w:cs="Arial"/>
          <w:sz w:val="20"/>
          <w:szCs w:val="20"/>
        </w:rPr>
        <w:t>El Código de Trabajo de la República del Ecuador, establece la obligación por parte de los empleadores de conceder los siguientes beneficios:</w:t>
      </w:r>
    </w:p>
    <w:p w:rsidR="00B80195" w:rsidRPr="0050759F" w:rsidRDefault="00B80195" w:rsidP="00B80195">
      <w:pPr>
        <w:ind w:left="709"/>
        <w:jc w:val="both"/>
        <w:rPr>
          <w:rFonts w:ascii="Arial" w:hAnsi="Arial" w:cs="Arial"/>
          <w:sz w:val="20"/>
          <w:szCs w:val="20"/>
        </w:rPr>
      </w:pPr>
    </w:p>
    <w:p w:rsidR="00B80195" w:rsidRPr="0050759F" w:rsidRDefault="00B80195" w:rsidP="00161D0E">
      <w:pPr>
        <w:numPr>
          <w:ilvl w:val="0"/>
          <w:numId w:val="8"/>
        </w:numPr>
        <w:tabs>
          <w:tab w:val="left" w:pos="1134"/>
        </w:tabs>
        <w:ind w:left="709" w:firstLine="0"/>
        <w:jc w:val="both"/>
        <w:rPr>
          <w:rFonts w:ascii="Arial" w:hAnsi="Arial" w:cs="Arial"/>
          <w:sz w:val="20"/>
          <w:szCs w:val="20"/>
        </w:rPr>
      </w:pPr>
      <w:r w:rsidRPr="0050759F">
        <w:rPr>
          <w:rFonts w:ascii="Arial" w:hAnsi="Arial" w:cs="Arial"/>
          <w:sz w:val="20"/>
          <w:szCs w:val="20"/>
        </w:rPr>
        <w:t>Jubilación patronal a todos aquellos empleados que hayan cumplido un mínimo de 25 años de servicio en una misma compañía.</w:t>
      </w:r>
    </w:p>
    <w:p w:rsidR="00B80195" w:rsidRPr="0050759F" w:rsidRDefault="00B80195" w:rsidP="00161D0E">
      <w:pPr>
        <w:numPr>
          <w:ilvl w:val="0"/>
          <w:numId w:val="8"/>
        </w:numPr>
        <w:tabs>
          <w:tab w:val="left" w:pos="1134"/>
        </w:tabs>
        <w:ind w:left="709" w:firstLine="0"/>
        <w:jc w:val="both"/>
        <w:rPr>
          <w:rFonts w:ascii="Arial" w:hAnsi="Arial" w:cs="Arial"/>
          <w:sz w:val="20"/>
          <w:szCs w:val="20"/>
        </w:rPr>
      </w:pPr>
      <w:r w:rsidRPr="0050759F">
        <w:rPr>
          <w:rFonts w:ascii="Arial" w:hAnsi="Arial" w:cs="Arial"/>
          <w:sz w:val="20"/>
          <w:szCs w:val="20"/>
        </w:rPr>
        <w:t>Una compensación del 25% del salario por cada año de servicio, la cual se calcula en base al sueldo o salario vigente al momento de su retiro.</w:t>
      </w:r>
    </w:p>
    <w:p w:rsidR="00B80195" w:rsidRPr="0050759F" w:rsidRDefault="00B80195" w:rsidP="00B80195">
      <w:pPr>
        <w:tabs>
          <w:tab w:val="left" w:pos="1134"/>
        </w:tabs>
        <w:ind w:left="709"/>
        <w:jc w:val="both"/>
        <w:rPr>
          <w:rFonts w:ascii="Arial" w:hAnsi="Arial" w:cs="Arial"/>
          <w:sz w:val="20"/>
          <w:szCs w:val="20"/>
        </w:rPr>
      </w:pPr>
    </w:p>
    <w:p w:rsidR="00B80195" w:rsidRPr="0050759F" w:rsidRDefault="00B80195" w:rsidP="00B80195">
      <w:pPr>
        <w:tabs>
          <w:tab w:val="left" w:pos="567"/>
        </w:tabs>
        <w:ind w:left="709"/>
        <w:jc w:val="both"/>
        <w:rPr>
          <w:rFonts w:ascii="Arial" w:hAnsi="Arial" w:cs="Arial"/>
          <w:sz w:val="20"/>
          <w:szCs w:val="20"/>
        </w:rPr>
      </w:pPr>
      <w:r w:rsidRPr="0050759F">
        <w:rPr>
          <w:rFonts w:ascii="Arial" w:hAnsi="Arial" w:cs="Arial"/>
          <w:sz w:val="20"/>
          <w:szCs w:val="20"/>
        </w:rPr>
        <w:t xml:space="preserve">La Compañía establece reservas para estos beneficios en base a estudios actuariales efectuados por una empresa especializada. El método actuarial utilizado por el especialista para </w:t>
      </w:r>
      <w:r w:rsidRPr="0050759F">
        <w:rPr>
          <w:rFonts w:ascii="Arial" w:hAnsi="Arial" w:cs="Arial"/>
          <w:sz w:val="20"/>
          <w:szCs w:val="20"/>
        </w:rPr>
        <w:lastRenderedPageBreak/>
        <w:t>el cálculo es el “costeo de crédito unitario proyectado” y las provisiones se calculan en base a la remuneración del empleado y demás parámetros establecidos en el Código de Trabajo.</w:t>
      </w:r>
    </w:p>
    <w:p w:rsidR="00B80195" w:rsidRPr="0050759F" w:rsidRDefault="00B80195" w:rsidP="00B80195">
      <w:pPr>
        <w:tabs>
          <w:tab w:val="left" w:pos="567"/>
        </w:tabs>
        <w:ind w:left="709"/>
        <w:jc w:val="both"/>
        <w:rPr>
          <w:rFonts w:ascii="Arial" w:hAnsi="Arial" w:cs="Arial"/>
          <w:sz w:val="20"/>
          <w:szCs w:val="20"/>
        </w:rPr>
      </w:pPr>
    </w:p>
    <w:p w:rsidR="00B80195" w:rsidRPr="0050759F" w:rsidRDefault="00B80195" w:rsidP="00B80195">
      <w:pPr>
        <w:tabs>
          <w:tab w:val="left" w:pos="567"/>
        </w:tabs>
        <w:ind w:left="709"/>
        <w:jc w:val="both"/>
        <w:rPr>
          <w:rFonts w:ascii="Arial" w:hAnsi="Arial" w:cs="Arial"/>
          <w:sz w:val="20"/>
          <w:szCs w:val="20"/>
        </w:rPr>
      </w:pPr>
      <w:r w:rsidRPr="0050759F">
        <w:rPr>
          <w:rFonts w:ascii="Arial" w:hAnsi="Arial" w:cs="Arial"/>
          <w:sz w:val="20"/>
          <w:szCs w:val="20"/>
        </w:rPr>
        <w:t xml:space="preserve">Las suposiciones para determinar el estudio actuarial incluyen determinaciones de tasas de descuento de los bonos corporativos de la moneda de circulación en el país, las variaciones en los sueldos y salarios, tasas de mortalidad, edad, sexo, años de servicio, incremento en el monto mínimo de las pensiones jubilares, entre otros. Debido al largo plazo que caracteriza a la reserva para las obligaciones por beneficios de retiro, la estimación está sujeta a variaciones que podrían ser importantes. </w:t>
      </w:r>
    </w:p>
    <w:p w:rsidR="00B80195" w:rsidRPr="0050759F" w:rsidRDefault="00B80195" w:rsidP="00F17DA5">
      <w:pPr>
        <w:tabs>
          <w:tab w:val="left" w:pos="567"/>
        </w:tabs>
        <w:jc w:val="both"/>
        <w:rPr>
          <w:rFonts w:ascii="Arial" w:hAnsi="Arial" w:cs="Arial"/>
          <w:sz w:val="20"/>
          <w:szCs w:val="20"/>
        </w:rPr>
      </w:pPr>
    </w:p>
    <w:p w:rsidR="00B80195" w:rsidRPr="0050759F" w:rsidRDefault="00B80195" w:rsidP="00B80195">
      <w:pPr>
        <w:tabs>
          <w:tab w:val="left" w:pos="567"/>
        </w:tabs>
        <w:ind w:left="709"/>
        <w:jc w:val="both"/>
        <w:rPr>
          <w:rFonts w:ascii="Arial" w:hAnsi="Arial" w:cs="Arial"/>
          <w:sz w:val="20"/>
          <w:szCs w:val="20"/>
        </w:rPr>
      </w:pPr>
      <w:r w:rsidRPr="0050759F">
        <w:rPr>
          <w:rFonts w:ascii="Arial" w:hAnsi="Arial" w:cs="Arial"/>
          <w:sz w:val="20"/>
          <w:szCs w:val="20"/>
        </w:rPr>
        <w:t>El incremento del costo laboral y de los intereses de estas provisiones se registran en los resultados del año y el efecto positivo o negativo en el nivel de las reservas derivadas por cambios en las estimaciones, se registra en el patrimonio como otros resultados integrales y los pagos son deducidos de la provisión.</w:t>
      </w:r>
    </w:p>
    <w:p w:rsidR="00411944" w:rsidRDefault="00411944" w:rsidP="00B80195">
      <w:pPr>
        <w:tabs>
          <w:tab w:val="left" w:pos="993"/>
        </w:tabs>
        <w:ind w:left="709"/>
        <w:jc w:val="both"/>
        <w:rPr>
          <w:rFonts w:ascii="Arial" w:hAnsi="Arial" w:cs="Arial"/>
          <w:b/>
          <w:sz w:val="20"/>
          <w:szCs w:val="20"/>
          <w:u w:val="single"/>
        </w:rPr>
      </w:pPr>
    </w:p>
    <w:p w:rsidR="00B80195" w:rsidRPr="0050759F" w:rsidRDefault="00B80195" w:rsidP="00B80195">
      <w:pPr>
        <w:tabs>
          <w:tab w:val="left" w:pos="993"/>
        </w:tabs>
        <w:ind w:left="709"/>
        <w:jc w:val="both"/>
        <w:rPr>
          <w:rFonts w:ascii="Arial" w:hAnsi="Arial" w:cs="Arial"/>
          <w:b/>
          <w:sz w:val="20"/>
          <w:szCs w:val="20"/>
          <w:u w:val="single"/>
        </w:rPr>
      </w:pPr>
      <w:r w:rsidRPr="0050759F">
        <w:rPr>
          <w:rFonts w:ascii="Arial" w:hAnsi="Arial" w:cs="Arial"/>
          <w:b/>
          <w:sz w:val="20"/>
          <w:szCs w:val="20"/>
          <w:u w:val="single"/>
        </w:rPr>
        <w:t>Beneficios por terminación anticipada</w:t>
      </w:r>
    </w:p>
    <w:p w:rsidR="00B80195" w:rsidRPr="0050759F" w:rsidRDefault="00B80195" w:rsidP="00B80195">
      <w:pPr>
        <w:ind w:left="709"/>
        <w:jc w:val="both"/>
        <w:rPr>
          <w:rFonts w:ascii="Arial" w:hAnsi="Arial" w:cs="Arial"/>
          <w:sz w:val="20"/>
          <w:szCs w:val="20"/>
        </w:rPr>
      </w:pPr>
    </w:p>
    <w:p w:rsidR="00B80195" w:rsidRPr="0050759F" w:rsidRDefault="00B80195" w:rsidP="00B80195">
      <w:pPr>
        <w:ind w:left="709"/>
        <w:jc w:val="both"/>
        <w:rPr>
          <w:rFonts w:ascii="Arial" w:hAnsi="Arial" w:cs="Arial"/>
          <w:sz w:val="20"/>
          <w:szCs w:val="20"/>
        </w:rPr>
      </w:pPr>
      <w:r w:rsidRPr="0050759F">
        <w:rPr>
          <w:rFonts w:ascii="Arial" w:hAnsi="Arial" w:cs="Arial"/>
          <w:sz w:val="20"/>
          <w:szCs w:val="20"/>
        </w:rPr>
        <w:t>Los beneficios por terminación anticipada se originan en el momento en el que el empleador decide terminar el contrato de prestación de servicios laborales en forma anticipada. La Compañía provisiona cuando existe la posibilidad real de una disminución de sus actividades o por una reestructuración de sus operaciones; en el evento de que no se origine por lo eventos antes mencionados y en los casos fortuitos los beneficios establecidos en la leyes laborales para la terminación anticipada se registran en los resultados en el momento que se originan.</w:t>
      </w:r>
    </w:p>
    <w:p w:rsidR="00B80195" w:rsidRPr="0050759F" w:rsidRDefault="00B80195" w:rsidP="00B80195">
      <w:pPr>
        <w:tabs>
          <w:tab w:val="left" w:pos="567"/>
        </w:tabs>
        <w:ind w:left="567"/>
        <w:jc w:val="both"/>
        <w:rPr>
          <w:rFonts w:ascii="Arial" w:hAnsi="Arial" w:cs="Arial"/>
          <w:sz w:val="20"/>
          <w:szCs w:val="20"/>
        </w:rPr>
      </w:pPr>
    </w:p>
    <w:p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 xml:space="preserve">Provisiones - pasivos acumulados </w:t>
      </w:r>
    </w:p>
    <w:p w:rsidR="00B80195" w:rsidRPr="0050759F" w:rsidRDefault="00B80195" w:rsidP="00B80195">
      <w:pPr>
        <w:ind w:left="709" w:hanging="709"/>
        <w:jc w:val="both"/>
        <w:rPr>
          <w:rFonts w:ascii="Arial" w:hAnsi="Arial" w:cs="Arial"/>
          <w:sz w:val="20"/>
          <w:szCs w:val="20"/>
          <w:lang w:eastAsia="es-EC"/>
        </w:rPr>
      </w:pP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 xml:space="preserve">Las Compañía reconocen las provisiones cuando: (i) tiene una obligación presente, ya sea legal o implícita, como resultado de eventos relacionados con sus actividades, (ii) es probable que se necesite una salida de recursos para liquidar una obligación actual en el futuro; y, (iii) el monto se ha estimado de forma fiable. </w:t>
      </w:r>
    </w:p>
    <w:p w:rsidR="00B80195" w:rsidRPr="0050759F" w:rsidRDefault="00B80195" w:rsidP="00B80195">
      <w:pPr>
        <w:ind w:left="709"/>
        <w:jc w:val="both"/>
        <w:rPr>
          <w:rFonts w:ascii="Arial" w:hAnsi="Arial" w:cs="Arial"/>
          <w:sz w:val="20"/>
          <w:szCs w:val="20"/>
          <w:lang w:eastAsia="es-EC"/>
        </w:rPr>
      </w:pP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Los montos reconocidos como provisión constituyen la mejor estimación de la Compañía, a la fecha de cierre de los estados financieros, de los desembolsos necesarios para liquidar la obligación.</w:t>
      </w:r>
    </w:p>
    <w:p w:rsidR="00B80195" w:rsidRPr="0050759F" w:rsidRDefault="00B80195" w:rsidP="00B80195">
      <w:pPr>
        <w:ind w:left="709"/>
        <w:jc w:val="both"/>
        <w:rPr>
          <w:rFonts w:ascii="Arial" w:hAnsi="Arial" w:cs="Arial"/>
          <w:sz w:val="20"/>
          <w:szCs w:val="20"/>
          <w:lang w:eastAsia="es-EC"/>
        </w:rPr>
      </w:pP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Las provisiones de corto plazo se reconocen en resultados y las de largo plazo son determinadas a través del descuento de los flujos de efectivo futuros previstos a una tasa de intereses de mercado relacionada con el valor temporal del dinero. La actualización del descuento de los valores provisionados es reconocido como gasto financiero.</w:t>
      </w:r>
    </w:p>
    <w:p w:rsidR="00B80195" w:rsidRPr="0050759F" w:rsidRDefault="00B80195" w:rsidP="00B80195">
      <w:pPr>
        <w:jc w:val="both"/>
        <w:rPr>
          <w:rFonts w:ascii="Arial" w:hAnsi="Arial" w:cs="Arial"/>
          <w:sz w:val="20"/>
          <w:szCs w:val="20"/>
          <w:lang w:eastAsia="es-EC"/>
        </w:rPr>
      </w:pPr>
    </w:p>
    <w:p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 xml:space="preserve">Impuesto a la renta </w:t>
      </w:r>
    </w:p>
    <w:p w:rsidR="00B80195" w:rsidRPr="0050759F" w:rsidRDefault="00B80195" w:rsidP="00B80195">
      <w:pPr>
        <w:tabs>
          <w:tab w:val="num" w:pos="567"/>
        </w:tabs>
        <w:ind w:left="567"/>
        <w:rPr>
          <w:rFonts w:ascii="Arial" w:hAnsi="Arial" w:cs="Arial"/>
          <w:sz w:val="20"/>
          <w:szCs w:val="20"/>
        </w:rPr>
      </w:pPr>
    </w:p>
    <w:p w:rsidR="00B80195" w:rsidRPr="0050759F" w:rsidRDefault="00B80195" w:rsidP="00B80195">
      <w:pPr>
        <w:tabs>
          <w:tab w:val="num" w:pos="709"/>
        </w:tabs>
        <w:ind w:left="709"/>
        <w:rPr>
          <w:rFonts w:ascii="Arial" w:hAnsi="Arial" w:cs="Arial"/>
          <w:sz w:val="20"/>
          <w:szCs w:val="20"/>
          <w:lang w:eastAsia="es-EC"/>
        </w:rPr>
      </w:pPr>
      <w:r w:rsidRPr="0050759F">
        <w:rPr>
          <w:rFonts w:ascii="Arial" w:hAnsi="Arial" w:cs="Arial"/>
          <w:sz w:val="20"/>
          <w:szCs w:val="20"/>
          <w:lang w:eastAsia="es-EC"/>
        </w:rPr>
        <w:t>El impuesto a la renta comprende el impuesto corriente y diferido de conformidad con las leyes tributarias vigentes en la República del Ecuador.</w:t>
      </w:r>
    </w:p>
    <w:p w:rsidR="00B80195" w:rsidRPr="00796D22" w:rsidRDefault="00B80195" w:rsidP="00B80195">
      <w:pPr>
        <w:tabs>
          <w:tab w:val="num" w:pos="709"/>
        </w:tabs>
        <w:ind w:left="709"/>
        <w:jc w:val="both"/>
        <w:rPr>
          <w:rFonts w:ascii="Arial" w:hAnsi="Arial" w:cs="Arial"/>
          <w:b/>
          <w:sz w:val="20"/>
          <w:szCs w:val="20"/>
          <w:u w:val="single"/>
          <w:lang w:eastAsia="es-EC"/>
        </w:rPr>
      </w:pPr>
    </w:p>
    <w:p w:rsidR="00B80195" w:rsidRPr="000B54A4" w:rsidRDefault="00B80195" w:rsidP="00B80195">
      <w:pPr>
        <w:tabs>
          <w:tab w:val="num" w:pos="709"/>
        </w:tabs>
        <w:ind w:left="709"/>
        <w:jc w:val="both"/>
        <w:rPr>
          <w:rFonts w:ascii="Arial" w:hAnsi="Arial" w:cs="Arial"/>
          <w:b/>
          <w:sz w:val="20"/>
          <w:szCs w:val="20"/>
          <w:u w:val="single"/>
          <w:lang w:eastAsia="es-EC"/>
        </w:rPr>
      </w:pPr>
      <w:r w:rsidRPr="000B54A4">
        <w:rPr>
          <w:rFonts w:ascii="Arial" w:hAnsi="Arial" w:cs="Arial"/>
          <w:b/>
          <w:sz w:val="20"/>
          <w:szCs w:val="20"/>
          <w:u w:val="single"/>
          <w:lang w:eastAsia="es-EC"/>
        </w:rPr>
        <w:t>Impuesto a la renta corriente</w:t>
      </w:r>
    </w:p>
    <w:p w:rsidR="00B80195" w:rsidRPr="00796D22" w:rsidRDefault="00B80195" w:rsidP="00B80195">
      <w:pPr>
        <w:tabs>
          <w:tab w:val="num" w:pos="709"/>
        </w:tabs>
        <w:ind w:left="709"/>
        <w:jc w:val="both"/>
        <w:rPr>
          <w:rFonts w:ascii="Arial" w:hAnsi="Arial" w:cs="Arial"/>
          <w:sz w:val="20"/>
          <w:szCs w:val="20"/>
          <w:lang w:eastAsia="es-EC"/>
        </w:rPr>
      </w:pPr>
    </w:p>
    <w:p w:rsidR="00B80195" w:rsidRPr="00796D22" w:rsidRDefault="00B80195" w:rsidP="00B80195">
      <w:pPr>
        <w:tabs>
          <w:tab w:val="num" w:pos="709"/>
        </w:tabs>
        <w:ind w:left="709"/>
        <w:jc w:val="both"/>
        <w:rPr>
          <w:rFonts w:ascii="Arial" w:hAnsi="Arial" w:cs="Arial"/>
          <w:sz w:val="20"/>
          <w:szCs w:val="20"/>
        </w:rPr>
      </w:pPr>
      <w:r w:rsidRPr="00796D22">
        <w:rPr>
          <w:rFonts w:ascii="Arial" w:hAnsi="Arial" w:cs="Arial"/>
          <w:sz w:val="20"/>
          <w:szCs w:val="20"/>
          <w:lang w:eastAsia="es-EC"/>
        </w:rPr>
        <w:t xml:space="preserve">El impuesto sobre la renta corriente del activo y pasivo se calcula utilizando las tasas aplicables, para los distintos tributos; </w:t>
      </w:r>
      <w:r w:rsidRPr="00796D22">
        <w:rPr>
          <w:rFonts w:ascii="Arial" w:hAnsi="Arial" w:cs="Arial"/>
          <w:sz w:val="20"/>
          <w:szCs w:val="20"/>
        </w:rPr>
        <w:t>que estén determinadas en la ley, reglamentos y disposiciones tributarias vigentes a la fecha de corte de los estados financieros sobre el que se informa</w:t>
      </w:r>
      <w:r w:rsidRPr="00796D22">
        <w:rPr>
          <w:rFonts w:ascii="Arial" w:hAnsi="Arial" w:cs="Arial"/>
          <w:sz w:val="20"/>
          <w:szCs w:val="20"/>
          <w:lang w:eastAsia="es-EC"/>
        </w:rPr>
        <w:t xml:space="preserve"> y estos se contabilizan en los resultados del período.</w:t>
      </w:r>
    </w:p>
    <w:p w:rsidR="00B80195" w:rsidRDefault="00B80195" w:rsidP="00B80195">
      <w:pPr>
        <w:jc w:val="both"/>
        <w:rPr>
          <w:rFonts w:ascii="Arial" w:hAnsi="Arial" w:cs="Arial"/>
          <w:b/>
          <w:sz w:val="20"/>
          <w:szCs w:val="20"/>
          <w:u w:val="single"/>
          <w:lang w:eastAsia="es-EC"/>
        </w:rPr>
      </w:pPr>
    </w:p>
    <w:p w:rsidR="007E74A5" w:rsidRDefault="007E74A5" w:rsidP="00B80195">
      <w:pPr>
        <w:jc w:val="both"/>
        <w:rPr>
          <w:rFonts w:ascii="Arial" w:hAnsi="Arial" w:cs="Arial"/>
          <w:b/>
          <w:sz w:val="20"/>
          <w:szCs w:val="20"/>
          <w:u w:val="single"/>
          <w:lang w:eastAsia="es-EC"/>
        </w:rPr>
      </w:pPr>
    </w:p>
    <w:p w:rsidR="007E74A5" w:rsidRDefault="007E74A5" w:rsidP="00B80195">
      <w:pPr>
        <w:jc w:val="both"/>
        <w:rPr>
          <w:rFonts w:ascii="Arial" w:hAnsi="Arial" w:cs="Arial"/>
          <w:b/>
          <w:sz w:val="20"/>
          <w:szCs w:val="20"/>
          <w:u w:val="single"/>
          <w:lang w:eastAsia="es-EC"/>
        </w:rPr>
      </w:pPr>
    </w:p>
    <w:p w:rsidR="00B80195" w:rsidRPr="000B54A4" w:rsidRDefault="00B80195" w:rsidP="00B80195">
      <w:pPr>
        <w:ind w:left="709"/>
        <w:jc w:val="both"/>
        <w:rPr>
          <w:rFonts w:ascii="Arial" w:hAnsi="Arial" w:cs="Arial"/>
          <w:b/>
          <w:sz w:val="20"/>
          <w:szCs w:val="20"/>
          <w:u w:val="single"/>
          <w:lang w:eastAsia="es-EC"/>
        </w:rPr>
      </w:pPr>
      <w:r w:rsidRPr="000B54A4">
        <w:rPr>
          <w:rFonts w:ascii="Arial" w:hAnsi="Arial" w:cs="Arial"/>
          <w:b/>
          <w:sz w:val="20"/>
          <w:szCs w:val="20"/>
          <w:u w:val="single"/>
          <w:lang w:eastAsia="es-EC"/>
        </w:rPr>
        <w:lastRenderedPageBreak/>
        <w:t>Impuesto a la renta diferido</w:t>
      </w:r>
    </w:p>
    <w:p w:rsidR="00B80195" w:rsidRPr="00796D22" w:rsidRDefault="00B80195" w:rsidP="00B80195">
      <w:pPr>
        <w:ind w:left="709"/>
        <w:jc w:val="both"/>
        <w:rPr>
          <w:rFonts w:ascii="Arial" w:hAnsi="Arial" w:cs="Arial"/>
          <w:sz w:val="20"/>
          <w:szCs w:val="20"/>
          <w:lang w:eastAsia="es-EC"/>
        </w:rPr>
      </w:pPr>
    </w:p>
    <w:p w:rsidR="00B80195" w:rsidRPr="00796D22" w:rsidRDefault="00B80195" w:rsidP="00B80195">
      <w:pPr>
        <w:ind w:left="709"/>
        <w:jc w:val="both"/>
        <w:rPr>
          <w:rFonts w:ascii="Arial" w:hAnsi="Arial" w:cs="Arial"/>
          <w:sz w:val="20"/>
          <w:szCs w:val="20"/>
        </w:rPr>
      </w:pPr>
      <w:r w:rsidRPr="00796D22">
        <w:rPr>
          <w:rFonts w:ascii="Arial" w:hAnsi="Arial" w:cs="Arial"/>
          <w:sz w:val="20"/>
          <w:szCs w:val="20"/>
        </w:rPr>
        <w:t xml:space="preserve">El impuesto a la renta diferido se reconoce utilizando el método del activo y pasivo producto de las diferencias temporales </w:t>
      </w:r>
      <w:r w:rsidRPr="00796D22">
        <w:rPr>
          <w:rFonts w:ascii="Arial" w:hAnsi="Arial" w:cs="Arial"/>
          <w:sz w:val="20"/>
          <w:szCs w:val="20"/>
          <w:lang w:eastAsia="es-EC"/>
        </w:rPr>
        <w:t>originadas entre los saldos en libros de los activos y pasivos en los estados</w:t>
      </w:r>
      <w:r w:rsidR="00F17DA5">
        <w:rPr>
          <w:rFonts w:ascii="Arial" w:hAnsi="Arial" w:cs="Arial"/>
          <w:sz w:val="20"/>
          <w:szCs w:val="20"/>
          <w:lang w:eastAsia="es-EC"/>
        </w:rPr>
        <w:t xml:space="preserve"> financieros de acuerdo a </w:t>
      </w:r>
      <w:proofErr w:type="spellStart"/>
      <w:r w:rsidR="00F17DA5">
        <w:rPr>
          <w:rFonts w:ascii="Arial" w:hAnsi="Arial" w:cs="Arial"/>
          <w:sz w:val="20"/>
          <w:szCs w:val="20"/>
          <w:lang w:eastAsia="es-EC"/>
        </w:rPr>
        <w:t>NIIFs</w:t>
      </w:r>
      <w:proofErr w:type="spellEnd"/>
      <w:r w:rsidR="00F17DA5">
        <w:rPr>
          <w:rFonts w:ascii="Arial" w:hAnsi="Arial" w:cs="Arial"/>
          <w:sz w:val="20"/>
          <w:szCs w:val="20"/>
          <w:lang w:eastAsia="es-EC"/>
        </w:rPr>
        <w:t xml:space="preserve"> – Pymes </w:t>
      </w:r>
      <w:r w:rsidRPr="00796D22">
        <w:rPr>
          <w:rFonts w:ascii="Arial" w:hAnsi="Arial" w:cs="Arial"/>
          <w:sz w:val="20"/>
          <w:szCs w:val="20"/>
          <w:lang w:eastAsia="es-EC"/>
        </w:rPr>
        <w:t>y la base contable fiscal,</w:t>
      </w:r>
      <w:r w:rsidRPr="00796D22">
        <w:rPr>
          <w:rFonts w:ascii="Arial" w:hAnsi="Arial" w:cs="Arial"/>
          <w:sz w:val="20"/>
          <w:szCs w:val="20"/>
        </w:rPr>
        <w:t xml:space="preserve"> a la fecha de cierre del periodo en el que se informa.</w:t>
      </w:r>
    </w:p>
    <w:p w:rsidR="00B80195" w:rsidRPr="00796D22" w:rsidRDefault="00B80195" w:rsidP="00B80195">
      <w:pPr>
        <w:ind w:left="709"/>
        <w:jc w:val="both"/>
        <w:rPr>
          <w:rFonts w:ascii="Arial" w:hAnsi="Arial" w:cs="Arial"/>
          <w:sz w:val="20"/>
          <w:szCs w:val="20"/>
        </w:rPr>
      </w:pPr>
    </w:p>
    <w:p w:rsidR="00B80195" w:rsidRPr="00796D22" w:rsidRDefault="00B80195" w:rsidP="00B80195">
      <w:pPr>
        <w:ind w:left="709"/>
        <w:jc w:val="both"/>
        <w:rPr>
          <w:rFonts w:ascii="Arial" w:hAnsi="Arial" w:cs="Arial"/>
          <w:sz w:val="20"/>
          <w:szCs w:val="20"/>
        </w:rPr>
      </w:pPr>
      <w:r w:rsidRPr="00796D22">
        <w:rPr>
          <w:rFonts w:ascii="Arial" w:hAnsi="Arial" w:cs="Arial"/>
          <w:sz w:val="20"/>
          <w:szCs w:val="20"/>
        </w:rPr>
        <w:t xml:space="preserve">Los activos por impuesto diferido se reconocen por todas las diferencias temporarias deducibles que se estima sean compensables en el futuro y los pasivos por impuesto diferido se reconocen por todas las diferencias temporarias imponibles. </w:t>
      </w:r>
    </w:p>
    <w:p w:rsidR="00B80195" w:rsidRPr="00796D22" w:rsidRDefault="00B80195" w:rsidP="00B80195">
      <w:pPr>
        <w:ind w:left="709"/>
        <w:jc w:val="both"/>
        <w:rPr>
          <w:rFonts w:ascii="Arial" w:hAnsi="Arial" w:cs="Arial"/>
          <w:sz w:val="20"/>
          <w:szCs w:val="20"/>
        </w:rPr>
      </w:pPr>
    </w:p>
    <w:p w:rsidR="00B80195" w:rsidRPr="00796D22" w:rsidRDefault="00B80195" w:rsidP="00B80195">
      <w:pPr>
        <w:ind w:left="709"/>
        <w:jc w:val="both"/>
        <w:rPr>
          <w:rFonts w:ascii="Arial" w:hAnsi="Arial" w:cs="Arial"/>
          <w:sz w:val="20"/>
          <w:szCs w:val="20"/>
        </w:rPr>
      </w:pPr>
      <w:r w:rsidRPr="00796D22">
        <w:rPr>
          <w:rFonts w:ascii="Arial" w:hAnsi="Arial" w:cs="Arial"/>
          <w:sz w:val="20"/>
          <w:szCs w:val="20"/>
        </w:rPr>
        <w:t xml:space="preserve">El valor de los activos por impuesto diferido contabilizados se </w:t>
      </w:r>
      <w:r w:rsidR="00F17DA5" w:rsidRPr="00796D22">
        <w:rPr>
          <w:rFonts w:ascii="Arial" w:hAnsi="Arial" w:cs="Arial"/>
          <w:sz w:val="20"/>
          <w:szCs w:val="20"/>
        </w:rPr>
        <w:t>revisa</w:t>
      </w:r>
      <w:r w:rsidRPr="00796D22">
        <w:rPr>
          <w:rFonts w:ascii="Arial" w:hAnsi="Arial" w:cs="Arial"/>
          <w:sz w:val="20"/>
          <w:szCs w:val="20"/>
        </w:rPr>
        <w:t xml:space="preserve"> al cierre de los estados financieros sobre el cual se informa y se reducen en el momento en que se determinan que no existen ganancias imponibles futura que permitan que esos activos por impuesto diferido sean utilizados total o parcialmente.</w:t>
      </w:r>
    </w:p>
    <w:p w:rsidR="00B80195" w:rsidRPr="00796D22" w:rsidRDefault="00B80195" w:rsidP="00B80195">
      <w:pPr>
        <w:ind w:left="709"/>
        <w:jc w:val="both"/>
        <w:rPr>
          <w:rFonts w:ascii="Arial" w:hAnsi="Arial" w:cs="Arial"/>
          <w:sz w:val="20"/>
          <w:szCs w:val="20"/>
        </w:rPr>
      </w:pPr>
    </w:p>
    <w:p w:rsidR="00B80195" w:rsidRPr="00796D22" w:rsidRDefault="00B80195" w:rsidP="00B80195">
      <w:pPr>
        <w:ind w:left="709"/>
        <w:jc w:val="both"/>
        <w:rPr>
          <w:rFonts w:ascii="Arial" w:hAnsi="Arial" w:cs="Arial"/>
          <w:sz w:val="20"/>
          <w:szCs w:val="20"/>
        </w:rPr>
      </w:pPr>
      <w:r w:rsidRPr="00796D22">
        <w:rPr>
          <w:rFonts w:ascii="Arial" w:hAnsi="Arial" w:cs="Arial"/>
          <w:sz w:val="20"/>
          <w:szCs w:val="20"/>
        </w:rPr>
        <w:t>Los activos por impuesto diferido no reconocidos contablemente en los estados financieros se evalúan en cada fecha de cierre de los estados financieros y se reconocen en la medida en que exista la evidencia de ganancias imponibles futuras que permitan recuperar dichos activos por impuesto diferido no reconocidos con anterioridad.</w:t>
      </w:r>
    </w:p>
    <w:p w:rsidR="00B80195" w:rsidRPr="00796D22" w:rsidRDefault="00B80195" w:rsidP="00B80195">
      <w:pPr>
        <w:ind w:left="709"/>
        <w:jc w:val="both"/>
        <w:rPr>
          <w:rFonts w:ascii="Arial" w:hAnsi="Arial" w:cs="Arial"/>
          <w:sz w:val="20"/>
          <w:szCs w:val="20"/>
        </w:rPr>
      </w:pPr>
    </w:p>
    <w:p w:rsidR="00B80195" w:rsidRPr="00796D22" w:rsidRDefault="00B80195" w:rsidP="00B80195">
      <w:pPr>
        <w:ind w:left="709"/>
        <w:jc w:val="both"/>
        <w:rPr>
          <w:rFonts w:ascii="Arial" w:hAnsi="Arial" w:cs="Arial"/>
          <w:sz w:val="20"/>
          <w:szCs w:val="20"/>
        </w:rPr>
      </w:pPr>
      <w:r w:rsidRPr="00796D22">
        <w:rPr>
          <w:rFonts w:ascii="Arial" w:hAnsi="Arial" w:cs="Arial"/>
          <w:sz w:val="20"/>
          <w:szCs w:val="20"/>
        </w:rPr>
        <w:t>Los activos y pasivos por impuestos diferidos, son medidos a las tasas de impuesto sobre la renta vigentes a la fecha en que se determina la existencia de las diferencias temporarias y que están vigentes en la Ley Orgánica de Régimen Tributario Interno, su reglamento y demás disposiciones legales tributarias vigentes.</w:t>
      </w:r>
    </w:p>
    <w:p w:rsidR="00B80195" w:rsidRPr="00796D22" w:rsidRDefault="00B80195" w:rsidP="00B80195">
      <w:pPr>
        <w:ind w:left="709"/>
        <w:jc w:val="both"/>
        <w:rPr>
          <w:rFonts w:ascii="Arial" w:hAnsi="Arial" w:cs="Arial"/>
          <w:sz w:val="20"/>
          <w:szCs w:val="20"/>
        </w:rPr>
      </w:pPr>
    </w:p>
    <w:p w:rsidR="00B80195" w:rsidRPr="00796D22" w:rsidRDefault="00B80195" w:rsidP="00B80195">
      <w:pPr>
        <w:ind w:left="709"/>
        <w:jc w:val="both"/>
        <w:rPr>
          <w:rFonts w:ascii="Arial" w:hAnsi="Arial" w:cs="Arial"/>
          <w:sz w:val="20"/>
          <w:szCs w:val="20"/>
        </w:rPr>
      </w:pPr>
      <w:r w:rsidRPr="00796D22">
        <w:rPr>
          <w:rFonts w:ascii="Arial" w:hAnsi="Arial" w:cs="Arial"/>
          <w:sz w:val="20"/>
          <w:szCs w:val="20"/>
        </w:rPr>
        <w:t>El impuesto diferido relacionado con las partidas reconocidas fuera del resultado se reconoce fuera de éste. Las partidas de impuestos diferidos se reconocen en una relación con la transacción subyacente, ya sea en el otro resultado integral o directamente en el patrimonio.</w:t>
      </w:r>
    </w:p>
    <w:p w:rsidR="00F17DA5" w:rsidRDefault="00F17DA5" w:rsidP="00B80195">
      <w:pPr>
        <w:ind w:left="709"/>
        <w:jc w:val="both"/>
        <w:rPr>
          <w:rFonts w:ascii="Arial" w:hAnsi="Arial" w:cs="Arial"/>
          <w:sz w:val="20"/>
          <w:szCs w:val="20"/>
        </w:rPr>
      </w:pPr>
    </w:p>
    <w:p w:rsidR="00B80195" w:rsidRPr="00796D22" w:rsidRDefault="00B80195" w:rsidP="00B80195">
      <w:pPr>
        <w:ind w:left="709"/>
        <w:jc w:val="both"/>
        <w:rPr>
          <w:rFonts w:ascii="Arial" w:hAnsi="Arial" w:cs="Arial"/>
          <w:sz w:val="20"/>
          <w:szCs w:val="20"/>
        </w:rPr>
      </w:pPr>
      <w:r w:rsidRPr="00796D22">
        <w:rPr>
          <w:rFonts w:ascii="Arial" w:hAnsi="Arial" w:cs="Arial"/>
          <w:sz w:val="20"/>
          <w:szCs w:val="20"/>
        </w:rPr>
        <w:t xml:space="preserve">Los activos y pasivos por impuesto diferido se compensan cuando existe el derecho legalmente exigible de compensar los activos y pasivos por el impuesto a las ganancias corriente y si los impuestos diferidos se relacionan con la misma entidad sujeta a impuestos y la misma jurisdicción fiscal. </w:t>
      </w:r>
    </w:p>
    <w:p w:rsidR="00B80195" w:rsidRPr="00796D22" w:rsidRDefault="00B80195" w:rsidP="00B80195">
      <w:pPr>
        <w:ind w:left="709"/>
        <w:jc w:val="both"/>
        <w:rPr>
          <w:rFonts w:ascii="Arial" w:hAnsi="Arial" w:cs="Arial"/>
          <w:sz w:val="20"/>
          <w:szCs w:val="20"/>
        </w:rPr>
      </w:pPr>
    </w:p>
    <w:p w:rsidR="00B80195" w:rsidRPr="00796D22" w:rsidRDefault="00B80195" w:rsidP="00B80195">
      <w:pPr>
        <w:ind w:left="709"/>
        <w:jc w:val="both"/>
        <w:rPr>
          <w:rFonts w:ascii="Arial" w:hAnsi="Arial" w:cs="Arial"/>
          <w:sz w:val="20"/>
          <w:szCs w:val="20"/>
        </w:rPr>
      </w:pPr>
      <w:r w:rsidRPr="00796D22">
        <w:rPr>
          <w:rFonts w:ascii="Arial" w:hAnsi="Arial" w:cs="Arial"/>
          <w:sz w:val="20"/>
          <w:szCs w:val="20"/>
        </w:rPr>
        <w:t>El pasivo por impuestos diferidos no se descuenta a su valor actual y se clasifica como no corriente.</w:t>
      </w:r>
    </w:p>
    <w:p w:rsidR="00B80195" w:rsidRDefault="00B80195" w:rsidP="00B80195">
      <w:pPr>
        <w:ind w:left="567"/>
        <w:jc w:val="both"/>
        <w:rPr>
          <w:rFonts w:ascii="Arial" w:hAnsi="Arial" w:cs="Arial"/>
          <w:b/>
          <w:bCs/>
          <w:snapToGrid w:val="0"/>
          <w:sz w:val="20"/>
          <w:szCs w:val="20"/>
          <w:lang w:eastAsia="en-US"/>
        </w:rPr>
      </w:pPr>
    </w:p>
    <w:p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Reconocimiento costos y gastos de operación</w:t>
      </w:r>
    </w:p>
    <w:p w:rsidR="00B80195" w:rsidRPr="0050759F" w:rsidRDefault="00B80195" w:rsidP="00B80195">
      <w:pPr>
        <w:ind w:left="709" w:hanging="709"/>
        <w:jc w:val="both"/>
        <w:rPr>
          <w:rFonts w:ascii="Arial" w:hAnsi="Arial" w:cs="Arial"/>
          <w:sz w:val="20"/>
          <w:szCs w:val="20"/>
          <w:lang w:eastAsia="es-EC"/>
        </w:rPr>
      </w:pPr>
    </w:p>
    <w:p w:rsidR="00B80195" w:rsidRPr="0050759F" w:rsidRDefault="00B80195" w:rsidP="00B80195">
      <w:pPr>
        <w:ind w:left="709"/>
        <w:jc w:val="both"/>
        <w:rPr>
          <w:rFonts w:ascii="Arial" w:hAnsi="Arial" w:cs="Arial"/>
          <w:sz w:val="20"/>
          <w:szCs w:val="20"/>
          <w:lang w:eastAsia="es-EC"/>
        </w:rPr>
      </w:pPr>
      <w:r w:rsidRPr="0050759F">
        <w:rPr>
          <w:rFonts w:ascii="Arial" w:hAnsi="Arial" w:cs="Arial"/>
          <w:sz w:val="20"/>
          <w:szCs w:val="20"/>
          <w:lang w:eastAsia="es-EC"/>
        </w:rPr>
        <w:t>Los costos y gastos de operación se reconocen en los resultados por el método devengado y cuando los productos y servicios son provistos, independientemente del momento en que se paguen.</w:t>
      </w:r>
    </w:p>
    <w:p w:rsidR="00B80195" w:rsidRPr="0050759F" w:rsidRDefault="00B80195" w:rsidP="00B80195">
      <w:pPr>
        <w:ind w:left="567"/>
        <w:jc w:val="both"/>
        <w:rPr>
          <w:rFonts w:ascii="Arial" w:hAnsi="Arial" w:cs="Arial"/>
          <w:b/>
          <w:bCs/>
          <w:snapToGrid w:val="0"/>
          <w:sz w:val="20"/>
          <w:szCs w:val="20"/>
          <w:lang w:eastAsia="en-US"/>
        </w:rPr>
      </w:pPr>
    </w:p>
    <w:p w:rsidR="00B80195" w:rsidRPr="0050759F" w:rsidRDefault="00B80195" w:rsidP="00161D0E">
      <w:pPr>
        <w:numPr>
          <w:ilvl w:val="0"/>
          <w:numId w:val="5"/>
        </w:numPr>
        <w:ind w:left="709" w:hanging="709"/>
        <w:jc w:val="both"/>
        <w:rPr>
          <w:rFonts w:ascii="Arial" w:hAnsi="Arial" w:cs="Arial"/>
          <w:b/>
          <w:bCs/>
          <w:snapToGrid w:val="0"/>
          <w:sz w:val="20"/>
          <w:szCs w:val="20"/>
          <w:lang w:eastAsia="en-US"/>
        </w:rPr>
      </w:pPr>
      <w:r w:rsidRPr="0050759F">
        <w:rPr>
          <w:rFonts w:ascii="Arial" w:hAnsi="Arial" w:cs="Arial"/>
          <w:b/>
          <w:bCs/>
          <w:snapToGrid w:val="0"/>
          <w:sz w:val="20"/>
          <w:szCs w:val="20"/>
          <w:lang w:eastAsia="en-US"/>
        </w:rPr>
        <w:t>Resultado integral por acción</w:t>
      </w:r>
    </w:p>
    <w:p w:rsidR="00B80195" w:rsidRPr="0050759F" w:rsidRDefault="00B80195" w:rsidP="00B80195">
      <w:pPr>
        <w:tabs>
          <w:tab w:val="num" w:pos="567"/>
        </w:tabs>
        <w:ind w:left="567"/>
        <w:rPr>
          <w:rFonts w:ascii="Arial" w:hAnsi="Arial" w:cs="Arial"/>
          <w:sz w:val="20"/>
          <w:szCs w:val="20"/>
        </w:rPr>
      </w:pPr>
    </w:p>
    <w:p w:rsidR="00B80195" w:rsidRPr="0050759F" w:rsidRDefault="00B80195" w:rsidP="00B80195">
      <w:pPr>
        <w:tabs>
          <w:tab w:val="left" w:pos="709"/>
        </w:tabs>
        <w:ind w:left="709"/>
        <w:jc w:val="both"/>
        <w:rPr>
          <w:rFonts w:ascii="Arial" w:hAnsi="Arial" w:cs="Arial"/>
          <w:sz w:val="20"/>
          <w:szCs w:val="20"/>
        </w:rPr>
      </w:pPr>
      <w:r w:rsidRPr="0050759F">
        <w:rPr>
          <w:rFonts w:ascii="Arial" w:hAnsi="Arial" w:cs="Arial"/>
          <w:sz w:val="20"/>
          <w:szCs w:val="20"/>
        </w:rPr>
        <w:t>El resultado integral por acción ordinaria se calcula considerando el promedio ponderado de acciones en circulación durante el año. El promedio de ac</w:t>
      </w:r>
      <w:r w:rsidR="00351216">
        <w:rPr>
          <w:rFonts w:ascii="Arial" w:hAnsi="Arial" w:cs="Arial"/>
          <w:sz w:val="20"/>
          <w:szCs w:val="20"/>
        </w:rPr>
        <w:t>cio</w:t>
      </w:r>
      <w:r w:rsidR="00F01F91">
        <w:rPr>
          <w:rFonts w:ascii="Arial" w:hAnsi="Arial" w:cs="Arial"/>
          <w:sz w:val="20"/>
          <w:szCs w:val="20"/>
        </w:rPr>
        <w:t>nes en circulación en el 2021</w:t>
      </w:r>
      <w:r w:rsidRPr="0050759F">
        <w:rPr>
          <w:rFonts w:ascii="Arial" w:hAnsi="Arial" w:cs="Arial"/>
          <w:sz w:val="20"/>
          <w:szCs w:val="20"/>
        </w:rPr>
        <w:t xml:space="preserve"> y </w:t>
      </w:r>
      <w:r w:rsidR="00F01F91">
        <w:rPr>
          <w:rFonts w:ascii="Arial" w:hAnsi="Arial" w:cs="Arial"/>
          <w:sz w:val="20"/>
          <w:szCs w:val="20"/>
        </w:rPr>
        <w:t>2020</w:t>
      </w:r>
      <w:r w:rsidRPr="0050759F">
        <w:rPr>
          <w:rFonts w:ascii="Arial" w:hAnsi="Arial" w:cs="Arial"/>
          <w:sz w:val="20"/>
          <w:szCs w:val="20"/>
        </w:rPr>
        <w:t xml:space="preserve"> fue de </w:t>
      </w:r>
      <w:r w:rsidR="00F17DA5">
        <w:rPr>
          <w:rFonts w:ascii="Arial" w:hAnsi="Arial" w:cs="Arial"/>
          <w:sz w:val="20"/>
          <w:szCs w:val="20"/>
        </w:rPr>
        <w:t>8</w:t>
      </w:r>
      <w:r>
        <w:rPr>
          <w:rFonts w:ascii="Arial" w:hAnsi="Arial" w:cs="Arial"/>
          <w:sz w:val="20"/>
          <w:szCs w:val="20"/>
        </w:rPr>
        <w:t>00</w:t>
      </w:r>
      <w:r w:rsidRPr="0050759F">
        <w:rPr>
          <w:rFonts w:ascii="Arial" w:hAnsi="Arial" w:cs="Arial"/>
          <w:sz w:val="20"/>
          <w:szCs w:val="20"/>
        </w:rPr>
        <w:t xml:space="preserve"> de US$ 1 cada una.</w:t>
      </w:r>
    </w:p>
    <w:p w:rsidR="00B80195" w:rsidRDefault="00B80195" w:rsidP="00B80195">
      <w:pPr>
        <w:jc w:val="both"/>
        <w:rPr>
          <w:rFonts w:ascii="Arial" w:hAnsi="Arial" w:cs="Arial"/>
          <w:sz w:val="20"/>
          <w:szCs w:val="20"/>
        </w:rPr>
      </w:pPr>
    </w:p>
    <w:p w:rsidR="007E74A5" w:rsidRDefault="007E74A5" w:rsidP="00B80195">
      <w:pPr>
        <w:jc w:val="both"/>
        <w:rPr>
          <w:rFonts w:ascii="Arial" w:hAnsi="Arial" w:cs="Arial"/>
          <w:sz w:val="20"/>
          <w:szCs w:val="20"/>
        </w:rPr>
      </w:pPr>
    </w:p>
    <w:p w:rsidR="007E74A5" w:rsidRDefault="007E74A5" w:rsidP="00B80195">
      <w:pPr>
        <w:jc w:val="both"/>
        <w:rPr>
          <w:rFonts w:ascii="Arial" w:hAnsi="Arial" w:cs="Arial"/>
          <w:sz w:val="20"/>
          <w:szCs w:val="20"/>
        </w:rPr>
      </w:pPr>
    </w:p>
    <w:p w:rsidR="007E74A5" w:rsidRDefault="007E74A5" w:rsidP="00B80195">
      <w:pPr>
        <w:jc w:val="both"/>
        <w:rPr>
          <w:rFonts w:ascii="Arial" w:hAnsi="Arial" w:cs="Arial"/>
          <w:sz w:val="20"/>
          <w:szCs w:val="20"/>
        </w:rPr>
      </w:pPr>
    </w:p>
    <w:p w:rsidR="007E74A5" w:rsidRDefault="007E74A5" w:rsidP="00B80195">
      <w:pPr>
        <w:jc w:val="both"/>
        <w:rPr>
          <w:rFonts w:ascii="Arial" w:hAnsi="Arial" w:cs="Arial"/>
          <w:sz w:val="20"/>
          <w:szCs w:val="20"/>
        </w:rPr>
      </w:pPr>
    </w:p>
    <w:p w:rsidR="00B80195" w:rsidRPr="00C310E8" w:rsidRDefault="00B80195" w:rsidP="00B80195">
      <w:pPr>
        <w:ind w:left="709"/>
        <w:jc w:val="both"/>
        <w:rPr>
          <w:rFonts w:ascii="Arial" w:hAnsi="Arial" w:cs="Arial"/>
          <w:b/>
          <w:sz w:val="20"/>
          <w:szCs w:val="20"/>
          <w:u w:val="single"/>
        </w:rPr>
      </w:pPr>
      <w:r>
        <w:rPr>
          <w:rFonts w:ascii="Arial" w:hAnsi="Arial" w:cs="Arial"/>
          <w:b/>
          <w:sz w:val="20"/>
          <w:szCs w:val="20"/>
          <w:u w:val="single"/>
        </w:rPr>
        <w:lastRenderedPageBreak/>
        <w:t>Normas aun no vigentes</w:t>
      </w:r>
    </w:p>
    <w:p w:rsidR="00B80195" w:rsidRDefault="00B80195" w:rsidP="00B80195">
      <w:pPr>
        <w:ind w:left="709"/>
        <w:jc w:val="both"/>
        <w:rPr>
          <w:rFonts w:ascii="Arial" w:hAnsi="Arial" w:cs="Arial"/>
          <w:sz w:val="20"/>
          <w:szCs w:val="20"/>
        </w:rPr>
      </w:pPr>
    </w:p>
    <w:p w:rsidR="00B80195" w:rsidRDefault="00B80195" w:rsidP="00B80195">
      <w:pPr>
        <w:ind w:left="709"/>
        <w:jc w:val="both"/>
        <w:rPr>
          <w:rFonts w:ascii="Arial" w:hAnsi="Arial" w:cs="Arial"/>
          <w:sz w:val="20"/>
          <w:szCs w:val="20"/>
        </w:rPr>
      </w:pPr>
      <w:r>
        <w:rPr>
          <w:rFonts w:ascii="Arial" w:hAnsi="Arial" w:cs="Arial"/>
          <w:sz w:val="20"/>
          <w:szCs w:val="20"/>
        </w:rPr>
        <w:t>Las modificaciones y enmiendas de las Normas Internacionales de Información Financieras para PYMES al 31 de d</w:t>
      </w:r>
      <w:r w:rsidR="00F01F91">
        <w:rPr>
          <w:rFonts w:ascii="Arial" w:hAnsi="Arial" w:cs="Arial"/>
          <w:sz w:val="20"/>
          <w:szCs w:val="20"/>
        </w:rPr>
        <w:t>iciembre del 201</w:t>
      </w:r>
      <w:r w:rsidR="00D56AD3">
        <w:rPr>
          <w:rFonts w:ascii="Arial" w:hAnsi="Arial" w:cs="Arial"/>
          <w:sz w:val="20"/>
          <w:szCs w:val="20"/>
        </w:rPr>
        <w:t>0</w:t>
      </w:r>
      <w:r>
        <w:rPr>
          <w:rFonts w:ascii="Arial" w:hAnsi="Arial" w:cs="Arial"/>
          <w:sz w:val="20"/>
          <w:szCs w:val="20"/>
        </w:rPr>
        <w:t xml:space="preserve">, las cuales aún no tienen una fecha de aplicación; son como sigue: </w:t>
      </w:r>
    </w:p>
    <w:p w:rsidR="00B80195" w:rsidRDefault="00B80195" w:rsidP="00B80195">
      <w:pPr>
        <w:ind w:left="709"/>
        <w:jc w:val="both"/>
        <w:rPr>
          <w:rFonts w:ascii="Arial" w:hAnsi="Arial" w:cs="Arial"/>
          <w:sz w:val="20"/>
          <w:szCs w:val="20"/>
        </w:rPr>
      </w:pP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1 — Entidades pequeñas y medianas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3 — Presentación del estado financiero</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4 — Estado de Posición Financiera</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5 — Estado de resultados integrales y Estado de ingresos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6 — Estado de cambios en el patrimonio y estado de ingresos y ganancias retenidas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7 — Estado de flujo de efectivo</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8 — Notas a los Estados Financieros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11 — Instrumentos financieros básicos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12 — Otros asuntos relacionados con instrumentos financieros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13 — Inventarios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14 — Inversiones en Asociadas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 xml:space="preserve">Sección 15 — Inversiones en negocios conjuntos </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17 — Propiedades, planta y equipo</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24 — Subvenciones del gobierno</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25 — Costos de los préstamos</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 xml:space="preserve">Sección 27 — Deterioro del valor de los activos </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 xml:space="preserve">Sección 30 — Conversión de moneda extranjera </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 xml:space="preserve">Sección 31 — Hiperinflación </w:t>
      </w:r>
    </w:p>
    <w:p w:rsidR="00B80195" w:rsidRDefault="00B80195" w:rsidP="00B80195">
      <w:pPr>
        <w:ind w:left="709"/>
        <w:rPr>
          <w:rFonts w:ascii="Arial" w:hAnsi="Arial" w:cs="Arial"/>
          <w:sz w:val="20"/>
          <w:szCs w:val="20"/>
          <w:lang w:eastAsia="x-none"/>
        </w:rPr>
      </w:pPr>
      <w:r>
        <w:rPr>
          <w:rFonts w:ascii="Arial" w:hAnsi="Arial" w:cs="Arial"/>
          <w:sz w:val="20"/>
          <w:szCs w:val="20"/>
          <w:lang w:eastAsia="x-none"/>
        </w:rPr>
        <w:t>Sección 32 — Eventos después del final del período de informe</w:t>
      </w:r>
    </w:p>
    <w:p w:rsidR="00B80195" w:rsidRDefault="00B80195" w:rsidP="00B80195">
      <w:pPr>
        <w:ind w:left="709"/>
        <w:rPr>
          <w:rFonts w:ascii="Arial" w:hAnsi="Arial" w:cs="Arial"/>
          <w:sz w:val="20"/>
          <w:szCs w:val="20"/>
          <w:lang w:val="es-EC" w:eastAsia="x-none"/>
        </w:rPr>
      </w:pPr>
    </w:p>
    <w:p w:rsidR="00B80195" w:rsidRDefault="00B80195" w:rsidP="00B80195">
      <w:pPr>
        <w:ind w:left="709"/>
        <w:jc w:val="both"/>
        <w:rPr>
          <w:rFonts w:ascii="Arial" w:hAnsi="Arial" w:cs="Arial"/>
          <w:sz w:val="20"/>
          <w:szCs w:val="20"/>
        </w:rPr>
      </w:pPr>
      <w:r>
        <w:rPr>
          <w:rFonts w:ascii="Arial" w:hAnsi="Arial" w:cs="Arial"/>
          <w:sz w:val="20"/>
          <w:szCs w:val="20"/>
        </w:rPr>
        <w:t>Los cambios en las secciones antes mencionadas no van a ser implementadas por la Compañía en forma anticipada.</w:t>
      </w:r>
    </w:p>
    <w:p w:rsidR="00B80195" w:rsidRPr="0050759F" w:rsidRDefault="00B80195" w:rsidP="00B80195">
      <w:pPr>
        <w:jc w:val="both"/>
        <w:rPr>
          <w:rFonts w:ascii="Arial" w:hAnsi="Arial" w:cs="Arial"/>
          <w:sz w:val="20"/>
          <w:szCs w:val="20"/>
        </w:rPr>
      </w:pPr>
    </w:p>
    <w:p w:rsidR="00B80195" w:rsidRPr="0050759F" w:rsidRDefault="00B80195" w:rsidP="00B80195">
      <w:pPr>
        <w:pStyle w:val="Ttulo1"/>
        <w:rPr>
          <w:rFonts w:ascii="Arial" w:hAnsi="Arial" w:cs="Arial"/>
          <w:sz w:val="20"/>
          <w:lang w:val="es-EC"/>
        </w:rPr>
      </w:pPr>
      <w:r>
        <w:rPr>
          <w:rFonts w:ascii="Arial" w:hAnsi="Arial" w:cs="Arial"/>
          <w:sz w:val="20"/>
        </w:rPr>
        <w:t xml:space="preserve">NOTA </w:t>
      </w:r>
      <w:r>
        <w:rPr>
          <w:rFonts w:ascii="Arial" w:hAnsi="Arial" w:cs="Arial"/>
          <w:sz w:val="20"/>
          <w:lang w:val="es-EC"/>
        </w:rPr>
        <w:t>4</w:t>
      </w:r>
      <w:r w:rsidRPr="0050759F">
        <w:rPr>
          <w:rFonts w:ascii="Arial" w:hAnsi="Arial" w:cs="Arial"/>
          <w:sz w:val="20"/>
        </w:rPr>
        <w:t xml:space="preserve"> – </w:t>
      </w:r>
      <w:r w:rsidRPr="0050759F">
        <w:rPr>
          <w:rFonts w:ascii="Arial" w:hAnsi="Arial" w:cs="Arial"/>
          <w:sz w:val="20"/>
          <w:lang w:val="es-EC"/>
        </w:rPr>
        <w:t>USO DE JUICIOS, ESTIMACIONES Y SUPUESTOS CONTABLES SIGNIFICATIVOS</w:t>
      </w:r>
    </w:p>
    <w:p w:rsidR="00B80195" w:rsidRPr="0050759F" w:rsidRDefault="00B80195" w:rsidP="00B80195">
      <w:pPr>
        <w:pStyle w:val="Prrafodelista"/>
        <w:spacing w:before="0" w:after="0"/>
        <w:ind w:left="0"/>
        <w:rPr>
          <w:rFonts w:ascii="Arial" w:hAnsi="Arial" w:cs="Arial"/>
          <w:spacing w:val="-2"/>
          <w:sz w:val="20"/>
          <w:szCs w:val="20"/>
        </w:rPr>
      </w:pPr>
    </w:p>
    <w:p w:rsidR="00B80195" w:rsidRPr="004D5031" w:rsidRDefault="00B80195" w:rsidP="00B80195">
      <w:pPr>
        <w:jc w:val="both"/>
        <w:rPr>
          <w:rFonts w:ascii="Arial" w:eastAsia="Arial" w:hAnsi="Arial" w:cs="Arial"/>
          <w:sz w:val="20"/>
          <w:szCs w:val="20"/>
        </w:rPr>
      </w:pPr>
      <w:r w:rsidRPr="004D5031">
        <w:rPr>
          <w:rFonts w:ascii="Arial" w:hAnsi="Arial" w:cs="Arial"/>
          <w:sz w:val="20"/>
          <w:szCs w:val="20"/>
        </w:rPr>
        <w:t>Las políticas establecidas por la Compañía</w:t>
      </w:r>
      <w:r>
        <w:rPr>
          <w:rFonts w:ascii="Arial" w:hAnsi="Arial" w:cs="Arial"/>
          <w:sz w:val="20"/>
          <w:szCs w:val="20"/>
        </w:rPr>
        <w:t xml:space="preserve"> nota 3</w:t>
      </w:r>
      <w:r w:rsidRPr="004D5031">
        <w:rPr>
          <w:rFonts w:ascii="Arial" w:hAnsi="Arial" w:cs="Arial"/>
          <w:sz w:val="20"/>
          <w:szCs w:val="20"/>
        </w:rPr>
        <w:t xml:space="preserve"> y conforme lo requieren las NIIF-PYMES requieren que la Administración realice juicios, estimaciones y suposiciones contables que afectan a los importes registrados en los activos y pasivos y la revelación de pasivos contingentes a la fecha de los estados financieros, los cuales tienen un efecto en los ingresos y gastos durante el periodo sobre el que se informa. Las estimaciones, juicios y suposiciones se basan en la experiencia de la Administración y otros factores, incluyendo expectativas razonables de los eventos futuros en función de las circunstancias. </w:t>
      </w:r>
      <w:r w:rsidRPr="004D5031">
        <w:rPr>
          <w:rFonts w:ascii="Arial" w:eastAsia="Arial" w:hAnsi="Arial" w:cs="Arial"/>
          <w:sz w:val="20"/>
          <w:szCs w:val="20"/>
        </w:rPr>
        <w:t>Las estimaciones contables, por definición, raramente pueden ser iguales a los resultados reales.</w:t>
      </w:r>
    </w:p>
    <w:p w:rsidR="00B80195" w:rsidRPr="0050759F" w:rsidRDefault="00B80195" w:rsidP="00B80195">
      <w:pPr>
        <w:pStyle w:val="Prrafodelista"/>
        <w:spacing w:before="0" w:after="0"/>
        <w:ind w:left="0"/>
        <w:rPr>
          <w:rFonts w:ascii="Arial" w:hAnsi="Arial" w:cs="Arial"/>
          <w:spacing w:val="-2"/>
          <w:sz w:val="20"/>
          <w:szCs w:val="20"/>
        </w:rPr>
      </w:pPr>
    </w:p>
    <w:p w:rsidR="00B80195" w:rsidRDefault="00B80195" w:rsidP="00B80195">
      <w:pPr>
        <w:jc w:val="both"/>
        <w:rPr>
          <w:rFonts w:ascii="Arial" w:hAnsi="Arial" w:cs="Arial"/>
          <w:sz w:val="20"/>
          <w:szCs w:val="20"/>
        </w:rPr>
      </w:pPr>
      <w:r w:rsidRPr="000428CE">
        <w:rPr>
          <w:rFonts w:ascii="Arial" w:eastAsia="Arial" w:hAnsi="Arial" w:cs="Arial"/>
          <w:sz w:val="20"/>
          <w:szCs w:val="20"/>
        </w:rPr>
        <w:t>Las estimaciones, juicios y suposiciones que tienen un riesgo significativo que pueden dar lugar a un ajuste material a los importes en libros dentro del ejercicio financiero son las siguientes</w:t>
      </w:r>
      <w:r w:rsidRPr="000428CE">
        <w:rPr>
          <w:rFonts w:ascii="Arial" w:hAnsi="Arial" w:cs="Arial"/>
          <w:sz w:val="20"/>
          <w:szCs w:val="20"/>
        </w:rPr>
        <w:t>:</w:t>
      </w:r>
    </w:p>
    <w:p w:rsidR="00073816" w:rsidRPr="000428CE" w:rsidRDefault="00073816" w:rsidP="00B80195">
      <w:pPr>
        <w:jc w:val="both"/>
        <w:rPr>
          <w:rFonts w:ascii="Arial" w:hAnsi="Arial" w:cs="Arial"/>
          <w:sz w:val="20"/>
          <w:szCs w:val="20"/>
        </w:rPr>
      </w:pPr>
    </w:p>
    <w:p w:rsidR="00B80195" w:rsidRPr="0050759F" w:rsidRDefault="00B80195" w:rsidP="00B80195">
      <w:pPr>
        <w:numPr>
          <w:ilvl w:val="0"/>
          <w:numId w:val="2"/>
        </w:numPr>
        <w:tabs>
          <w:tab w:val="left" w:pos="567"/>
        </w:tabs>
        <w:ind w:left="567" w:hanging="567"/>
        <w:jc w:val="both"/>
        <w:rPr>
          <w:rFonts w:ascii="Arial" w:hAnsi="Arial" w:cs="Arial"/>
          <w:b/>
          <w:sz w:val="20"/>
          <w:szCs w:val="20"/>
          <w:lang w:eastAsia="es-EC"/>
        </w:rPr>
      </w:pPr>
      <w:r w:rsidRPr="0050759F">
        <w:rPr>
          <w:rFonts w:ascii="Arial" w:hAnsi="Arial" w:cs="Arial"/>
          <w:b/>
          <w:sz w:val="20"/>
          <w:szCs w:val="20"/>
          <w:lang w:eastAsia="es-EC"/>
        </w:rPr>
        <w:t xml:space="preserve">Provisiones para </w:t>
      </w:r>
      <w:r>
        <w:rPr>
          <w:rFonts w:ascii="Arial" w:hAnsi="Arial" w:cs="Arial"/>
          <w:b/>
          <w:sz w:val="20"/>
          <w:szCs w:val="20"/>
          <w:lang w:eastAsia="es-EC"/>
        </w:rPr>
        <w:t>posibles pérdidas esperadas en</w:t>
      </w:r>
      <w:r w:rsidRPr="0050759F">
        <w:rPr>
          <w:rFonts w:ascii="Arial" w:hAnsi="Arial" w:cs="Arial"/>
          <w:b/>
          <w:sz w:val="20"/>
          <w:szCs w:val="20"/>
          <w:lang w:eastAsia="es-EC"/>
        </w:rPr>
        <w:t xml:space="preserve"> activos financieros</w:t>
      </w:r>
    </w:p>
    <w:p w:rsidR="00B80195" w:rsidRPr="0050759F" w:rsidRDefault="00B80195" w:rsidP="00B80195">
      <w:pPr>
        <w:ind w:left="567"/>
        <w:rPr>
          <w:rFonts w:ascii="Arial" w:hAnsi="Arial" w:cs="Arial"/>
          <w:sz w:val="20"/>
          <w:szCs w:val="20"/>
          <w:lang w:eastAsia="es-EC"/>
        </w:rPr>
      </w:pPr>
    </w:p>
    <w:p w:rsidR="00B80195" w:rsidRPr="0050759F" w:rsidRDefault="00B80195" w:rsidP="00B80195">
      <w:pPr>
        <w:ind w:left="567"/>
        <w:jc w:val="both"/>
        <w:rPr>
          <w:rFonts w:ascii="Arial" w:hAnsi="Arial" w:cs="Arial"/>
          <w:sz w:val="20"/>
          <w:szCs w:val="20"/>
          <w:lang w:eastAsia="es-EC"/>
        </w:rPr>
      </w:pPr>
      <w:r w:rsidRPr="0050759F">
        <w:rPr>
          <w:rFonts w:ascii="Arial" w:hAnsi="Arial" w:cs="Arial"/>
          <w:sz w:val="20"/>
          <w:szCs w:val="20"/>
          <w:lang w:eastAsia="es-EC"/>
        </w:rPr>
        <w:t xml:space="preserve">La Compañía en forma anual realiza una revisión del valor de los activos financieros y evalúa si existen riesgos sobre la recuperación de los mismos y en base a este análisis se realiza una provisión para el deterioro de los mismos. </w:t>
      </w:r>
    </w:p>
    <w:p w:rsidR="00B80195" w:rsidRPr="0050759F" w:rsidRDefault="00B80195" w:rsidP="00B80195">
      <w:pPr>
        <w:ind w:left="567"/>
        <w:rPr>
          <w:rFonts w:ascii="Arial" w:hAnsi="Arial" w:cs="Arial"/>
          <w:sz w:val="20"/>
          <w:szCs w:val="20"/>
          <w:lang w:eastAsia="es-EC"/>
        </w:rPr>
      </w:pPr>
    </w:p>
    <w:p w:rsidR="00B80195" w:rsidRPr="0050759F" w:rsidRDefault="00B80195" w:rsidP="00B80195">
      <w:pPr>
        <w:ind w:left="567"/>
        <w:jc w:val="both"/>
        <w:rPr>
          <w:rFonts w:ascii="Arial" w:hAnsi="Arial" w:cs="Arial"/>
          <w:sz w:val="20"/>
          <w:szCs w:val="20"/>
          <w:lang w:eastAsia="es-EC"/>
        </w:rPr>
      </w:pPr>
      <w:r w:rsidRPr="0050759F">
        <w:rPr>
          <w:rFonts w:ascii="Arial" w:hAnsi="Arial" w:cs="Arial"/>
          <w:sz w:val="20"/>
          <w:szCs w:val="20"/>
          <w:lang w:eastAsia="es-EC"/>
        </w:rPr>
        <w:t xml:space="preserve">La Compañía considera que el monto de la provisión a la fecha de preparación de los estados financieros para los activos financieros es razonable. </w:t>
      </w:r>
    </w:p>
    <w:p w:rsidR="00B80195" w:rsidRDefault="00B80195" w:rsidP="00B80195">
      <w:pPr>
        <w:ind w:left="567"/>
        <w:jc w:val="both"/>
        <w:rPr>
          <w:rFonts w:ascii="Arial" w:hAnsi="Arial" w:cs="Arial"/>
          <w:sz w:val="20"/>
          <w:szCs w:val="20"/>
          <w:lang w:eastAsia="es-EC"/>
        </w:rPr>
      </w:pPr>
    </w:p>
    <w:p w:rsidR="00F01F91" w:rsidRDefault="00F01F91" w:rsidP="00B80195">
      <w:pPr>
        <w:ind w:left="567"/>
        <w:jc w:val="both"/>
        <w:rPr>
          <w:rFonts w:ascii="Arial" w:hAnsi="Arial" w:cs="Arial"/>
          <w:sz w:val="20"/>
          <w:szCs w:val="20"/>
          <w:lang w:eastAsia="es-EC"/>
        </w:rPr>
      </w:pPr>
    </w:p>
    <w:p w:rsidR="00F01F91" w:rsidRDefault="00F01F91" w:rsidP="00B80195">
      <w:pPr>
        <w:ind w:left="567"/>
        <w:jc w:val="both"/>
        <w:rPr>
          <w:rFonts w:ascii="Arial" w:hAnsi="Arial" w:cs="Arial"/>
          <w:sz w:val="20"/>
          <w:szCs w:val="20"/>
          <w:lang w:eastAsia="es-EC"/>
        </w:rPr>
      </w:pPr>
    </w:p>
    <w:p w:rsidR="00F01F91" w:rsidRPr="000D1A16" w:rsidRDefault="00F01F91" w:rsidP="00F01F91">
      <w:pPr>
        <w:numPr>
          <w:ilvl w:val="0"/>
          <w:numId w:val="2"/>
        </w:numPr>
        <w:tabs>
          <w:tab w:val="left" w:pos="567"/>
        </w:tabs>
        <w:ind w:left="567" w:hanging="567"/>
        <w:jc w:val="both"/>
        <w:rPr>
          <w:rFonts w:ascii="Arial" w:hAnsi="Arial" w:cs="Arial"/>
          <w:b/>
          <w:sz w:val="20"/>
          <w:szCs w:val="20"/>
          <w:lang w:eastAsia="es-EC"/>
        </w:rPr>
      </w:pPr>
      <w:r w:rsidRPr="000D1A16">
        <w:rPr>
          <w:rFonts w:ascii="Arial" w:hAnsi="Arial" w:cs="Arial"/>
          <w:b/>
          <w:sz w:val="20"/>
          <w:szCs w:val="20"/>
          <w:lang w:eastAsia="es-EC"/>
        </w:rPr>
        <w:lastRenderedPageBreak/>
        <w:t>Reval</w:t>
      </w:r>
      <w:r>
        <w:rPr>
          <w:rFonts w:ascii="Arial" w:hAnsi="Arial" w:cs="Arial"/>
          <w:b/>
          <w:sz w:val="20"/>
          <w:szCs w:val="20"/>
          <w:lang w:eastAsia="es-EC"/>
        </w:rPr>
        <w:t>orización de propiedades, muebles</w:t>
      </w:r>
      <w:r w:rsidRPr="000D1A16">
        <w:rPr>
          <w:rFonts w:ascii="Arial" w:hAnsi="Arial" w:cs="Arial"/>
          <w:b/>
          <w:sz w:val="20"/>
          <w:szCs w:val="20"/>
          <w:lang w:eastAsia="es-EC"/>
        </w:rPr>
        <w:t xml:space="preserve"> y equipos.</w:t>
      </w:r>
    </w:p>
    <w:p w:rsidR="00F01F91" w:rsidRPr="000D1A16" w:rsidRDefault="00F01F91" w:rsidP="00F01F91">
      <w:pPr>
        <w:tabs>
          <w:tab w:val="left" w:pos="567"/>
        </w:tabs>
        <w:ind w:left="567"/>
        <w:jc w:val="both"/>
        <w:rPr>
          <w:rFonts w:ascii="Arial" w:hAnsi="Arial" w:cs="Arial"/>
          <w:b/>
          <w:sz w:val="20"/>
          <w:szCs w:val="20"/>
          <w:lang w:eastAsia="es-EC"/>
        </w:rPr>
      </w:pPr>
    </w:p>
    <w:p w:rsidR="00F01F91" w:rsidRPr="000D1A16" w:rsidRDefault="00F01F91" w:rsidP="00F01F91">
      <w:pPr>
        <w:tabs>
          <w:tab w:val="left" w:pos="567"/>
        </w:tabs>
        <w:ind w:left="567"/>
        <w:jc w:val="both"/>
        <w:rPr>
          <w:rFonts w:ascii="Arial" w:hAnsi="Arial" w:cs="Arial"/>
          <w:sz w:val="20"/>
          <w:szCs w:val="20"/>
          <w:lang w:eastAsia="es-EC"/>
        </w:rPr>
      </w:pPr>
      <w:r>
        <w:rPr>
          <w:rFonts w:ascii="Arial" w:hAnsi="Arial" w:cs="Arial"/>
          <w:sz w:val="20"/>
          <w:szCs w:val="20"/>
          <w:lang w:eastAsia="es-EC"/>
        </w:rPr>
        <w:t>La propiedad, muebles</w:t>
      </w:r>
      <w:r w:rsidRPr="000D1A16">
        <w:rPr>
          <w:rFonts w:ascii="Arial" w:hAnsi="Arial" w:cs="Arial"/>
          <w:sz w:val="20"/>
          <w:szCs w:val="20"/>
          <w:lang w:eastAsia="es-EC"/>
        </w:rPr>
        <w:t xml:space="preserve"> y equipo se registra</w:t>
      </w:r>
      <w:r>
        <w:rPr>
          <w:rFonts w:ascii="Arial" w:hAnsi="Arial" w:cs="Arial"/>
          <w:sz w:val="20"/>
          <w:szCs w:val="20"/>
          <w:lang w:eastAsia="es-EC"/>
        </w:rPr>
        <w:t>n</w:t>
      </w:r>
      <w:r w:rsidRPr="000D1A16">
        <w:rPr>
          <w:rFonts w:ascii="Arial" w:hAnsi="Arial" w:cs="Arial"/>
          <w:sz w:val="20"/>
          <w:szCs w:val="20"/>
          <w:lang w:eastAsia="es-EC"/>
        </w:rPr>
        <w:t xml:space="preserve"> al costo, excepto por los terrenos y edificaciones</w:t>
      </w:r>
      <w:r>
        <w:rPr>
          <w:rFonts w:ascii="Arial" w:hAnsi="Arial" w:cs="Arial"/>
          <w:sz w:val="20"/>
          <w:szCs w:val="20"/>
          <w:lang w:eastAsia="es-EC"/>
        </w:rPr>
        <w:t xml:space="preserve"> y Vehículos</w:t>
      </w:r>
      <w:r w:rsidRPr="000D1A16">
        <w:rPr>
          <w:rFonts w:ascii="Arial" w:hAnsi="Arial" w:cs="Arial"/>
          <w:sz w:val="20"/>
          <w:szCs w:val="20"/>
          <w:lang w:eastAsia="es-EC"/>
        </w:rPr>
        <w:t xml:space="preserve"> que se registran al valor de avalúo efectuado por un perito especializado y considera que el valor determinado revela el valor de mercado.</w:t>
      </w:r>
    </w:p>
    <w:p w:rsidR="007E74A5" w:rsidRDefault="007E74A5" w:rsidP="00B80195">
      <w:pPr>
        <w:ind w:left="567"/>
        <w:jc w:val="both"/>
        <w:rPr>
          <w:rFonts w:ascii="Arial" w:hAnsi="Arial" w:cs="Arial"/>
          <w:sz w:val="20"/>
          <w:szCs w:val="20"/>
          <w:lang w:eastAsia="es-EC"/>
        </w:rPr>
      </w:pPr>
    </w:p>
    <w:p w:rsidR="00B80195" w:rsidRPr="0050759F" w:rsidRDefault="00B80195" w:rsidP="00B80195">
      <w:pPr>
        <w:numPr>
          <w:ilvl w:val="0"/>
          <w:numId w:val="2"/>
        </w:numPr>
        <w:tabs>
          <w:tab w:val="left" w:pos="567"/>
        </w:tabs>
        <w:ind w:left="567" w:hanging="567"/>
        <w:jc w:val="both"/>
        <w:rPr>
          <w:rFonts w:ascii="Arial" w:hAnsi="Arial" w:cs="Arial"/>
          <w:b/>
          <w:sz w:val="20"/>
          <w:szCs w:val="20"/>
          <w:lang w:eastAsia="es-EC"/>
        </w:rPr>
      </w:pPr>
      <w:r w:rsidRPr="0050759F">
        <w:rPr>
          <w:rFonts w:ascii="Arial" w:hAnsi="Arial" w:cs="Arial"/>
          <w:b/>
          <w:sz w:val="20"/>
          <w:szCs w:val="20"/>
          <w:lang w:eastAsia="es-EC"/>
        </w:rPr>
        <w:t>Estimación de las vidas útiles de las depreciaciones de mobiliario y equipo.</w:t>
      </w:r>
    </w:p>
    <w:p w:rsidR="00B80195" w:rsidRPr="0050759F" w:rsidRDefault="00B80195" w:rsidP="00B80195">
      <w:pPr>
        <w:ind w:left="567"/>
        <w:rPr>
          <w:rFonts w:ascii="Arial" w:hAnsi="Arial" w:cs="Arial"/>
          <w:sz w:val="20"/>
          <w:szCs w:val="20"/>
          <w:lang w:eastAsia="es-EC"/>
        </w:rPr>
      </w:pPr>
    </w:p>
    <w:p w:rsidR="00B80195" w:rsidRPr="0050759F" w:rsidRDefault="00B80195" w:rsidP="00B80195">
      <w:pPr>
        <w:tabs>
          <w:tab w:val="left" w:pos="567"/>
        </w:tabs>
        <w:ind w:left="567"/>
        <w:jc w:val="both"/>
        <w:rPr>
          <w:rFonts w:ascii="Arial" w:hAnsi="Arial" w:cs="Arial"/>
          <w:sz w:val="20"/>
          <w:szCs w:val="20"/>
          <w:lang w:eastAsia="es-EC"/>
        </w:rPr>
      </w:pPr>
      <w:r>
        <w:rPr>
          <w:rFonts w:ascii="Arial" w:hAnsi="Arial" w:cs="Arial"/>
          <w:sz w:val="20"/>
          <w:szCs w:val="20"/>
          <w:lang w:eastAsia="es-EC"/>
        </w:rPr>
        <w:t xml:space="preserve">El mobiliario, vehículos y  </w:t>
      </w:r>
      <w:r w:rsidRPr="0050759F">
        <w:rPr>
          <w:rFonts w:ascii="Arial" w:hAnsi="Arial" w:cs="Arial"/>
          <w:sz w:val="20"/>
          <w:szCs w:val="20"/>
          <w:lang w:eastAsia="es-EC"/>
        </w:rPr>
        <w:t>equipo</w:t>
      </w:r>
      <w:r>
        <w:rPr>
          <w:rFonts w:ascii="Arial" w:hAnsi="Arial" w:cs="Arial"/>
          <w:sz w:val="20"/>
          <w:szCs w:val="20"/>
          <w:lang w:eastAsia="es-EC"/>
        </w:rPr>
        <w:t>s</w:t>
      </w:r>
      <w:r w:rsidRPr="0050759F">
        <w:rPr>
          <w:rFonts w:ascii="Arial" w:hAnsi="Arial" w:cs="Arial"/>
          <w:sz w:val="20"/>
          <w:szCs w:val="20"/>
          <w:lang w:eastAsia="es-EC"/>
        </w:rPr>
        <w:t xml:space="preserve"> se contabilizan al costo y se deprecian por el método de línea recta y en base a las vidas útiles estimadas, las cuales son revisadas en forma anual, los cambios tecnológicos, el uso extensivo, entre otros factores pueden cambiar las estimaciones del método de depreciación y las vidas útiles pueden afectar estas estimaciones.</w:t>
      </w:r>
    </w:p>
    <w:p w:rsidR="00B80195" w:rsidRPr="0050759F" w:rsidRDefault="00B80195" w:rsidP="00B80195">
      <w:pPr>
        <w:tabs>
          <w:tab w:val="left" w:pos="567"/>
        </w:tabs>
        <w:ind w:left="567"/>
        <w:jc w:val="both"/>
        <w:rPr>
          <w:rFonts w:ascii="Arial" w:hAnsi="Arial" w:cs="Arial"/>
          <w:sz w:val="20"/>
          <w:szCs w:val="20"/>
          <w:lang w:eastAsia="es-EC"/>
        </w:rPr>
      </w:pPr>
    </w:p>
    <w:p w:rsidR="00B80195" w:rsidRPr="0050759F" w:rsidRDefault="00B80195" w:rsidP="00B80195">
      <w:pPr>
        <w:tabs>
          <w:tab w:val="left" w:pos="567"/>
        </w:tabs>
        <w:ind w:left="567"/>
        <w:jc w:val="both"/>
        <w:rPr>
          <w:rFonts w:ascii="Arial" w:hAnsi="Arial" w:cs="Arial"/>
          <w:sz w:val="20"/>
          <w:szCs w:val="20"/>
          <w:lang w:eastAsia="es-EC"/>
        </w:rPr>
      </w:pPr>
      <w:r w:rsidRPr="0050759F">
        <w:rPr>
          <w:rFonts w:ascii="Arial" w:hAnsi="Arial" w:cs="Arial"/>
          <w:sz w:val="20"/>
          <w:szCs w:val="20"/>
          <w:lang w:eastAsia="es-EC"/>
        </w:rPr>
        <w:t>La Compañía considera que el método de depreciación y las vidas útiles son razonables y existe evidencia de algún deterioro tecnológico.</w:t>
      </w:r>
    </w:p>
    <w:p w:rsidR="00B80195" w:rsidRPr="0050759F" w:rsidRDefault="00B80195" w:rsidP="00B80195">
      <w:pPr>
        <w:tabs>
          <w:tab w:val="left" w:pos="567"/>
        </w:tabs>
        <w:jc w:val="both"/>
        <w:rPr>
          <w:rFonts w:ascii="Arial" w:hAnsi="Arial" w:cs="Arial"/>
          <w:sz w:val="20"/>
          <w:szCs w:val="20"/>
          <w:lang w:eastAsia="es-EC"/>
        </w:rPr>
      </w:pPr>
    </w:p>
    <w:p w:rsidR="00B80195" w:rsidRPr="0050759F" w:rsidRDefault="00B80195" w:rsidP="00B80195">
      <w:pPr>
        <w:numPr>
          <w:ilvl w:val="0"/>
          <w:numId w:val="2"/>
        </w:numPr>
        <w:tabs>
          <w:tab w:val="left" w:pos="567"/>
        </w:tabs>
        <w:ind w:left="567" w:hanging="567"/>
        <w:jc w:val="both"/>
        <w:rPr>
          <w:rFonts w:ascii="Arial" w:hAnsi="Arial" w:cs="Arial"/>
          <w:b/>
          <w:bCs/>
          <w:sz w:val="20"/>
          <w:szCs w:val="20"/>
        </w:rPr>
      </w:pPr>
      <w:r w:rsidRPr="0050759F">
        <w:rPr>
          <w:rFonts w:ascii="Arial" w:hAnsi="Arial" w:cs="Arial"/>
          <w:b/>
          <w:bCs/>
          <w:sz w:val="20"/>
          <w:szCs w:val="20"/>
        </w:rPr>
        <w:t>Deterioro de activos de larga vida</w:t>
      </w:r>
    </w:p>
    <w:p w:rsidR="00B80195" w:rsidRPr="0050759F" w:rsidRDefault="00B80195" w:rsidP="00B80195">
      <w:pPr>
        <w:tabs>
          <w:tab w:val="left" w:pos="567"/>
        </w:tabs>
        <w:autoSpaceDE w:val="0"/>
        <w:autoSpaceDN w:val="0"/>
        <w:adjustRightInd w:val="0"/>
        <w:ind w:left="567"/>
        <w:jc w:val="both"/>
        <w:rPr>
          <w:rFonts w:ascii="Arial" w:hAnsi="Arial" w:cs="Arial"/>
          <w:b/>
          <w:bCs/>
          <w:sz w:val="20"/>
          <w:szCs w:val="20"/>
        </w:rPr>
      </w:pPr>
    </w:p>
    <w:p w:rsidR="00B80195" w:rsidRPr="0050759F" w:rsidRDefault="00B80195" w:rsidP="00B80195">
      <w:pPr>
        <w:autoSpaceDE w:val="0"/>
        <w:autoSpaceDN w:val="0"/>
        <w:adjustRightInd w:val="0"/>
        <w:ind w:left="567"/>
        <w:jc w:val="both"/>
        <w:rPr>
          <w:rFonts w:ascii="Arial" w:hAnsi="Arial" w:cs="Arial"/>
          <w:sz w:val="20"/>
          <w:szCs w:val="20"/>
        </w:rPr>
      </w:pPr>
      <w:r w:rsidRPr="0050759F">
        <w:rPr>
          <w:rFonts w:ascii="Arial" w:hAnsi="Arial" w:cs="Arial"/>
          <w:sz w:val="20"/>
          <w:szCs w:val="20"/>
        </w:rPr>
        <w:t xml:space="preserve">La Compañía al finalizar cada período contable, analiza sus resultados y operaciones para validar el valor de los activos de larga vida y determinar si existen indicios de que dichos activos han sufrido una pérdida por deterioro. En caso de que exista algún indicio se realiza una estimación del importe recuperable de dicho activo, para lo cual se estiman los flujos de efectivo (valor de uso) de forma independiente; por ende la </w:t>
      </w:r>
      <w:proofErr w:type="spellStart"/>
      <w:r w:rsidRPr="0050759F">
        <w:rPr>
          <w:rFonts w:ascii="Arial" w:hAnsi="Arial" w:cs="Arial"/>
          <w:sz w:val="20"/>
          <w:szCs w:val="20"/>
        </w:rPr>
        <w:t>recuperabilidad</w:t>
      </w:r>
      <w:proofErr w:type="spellEnd"/>
      <w:r w:rsidRPr="0050759F">
        <w:rPr>
          <w:rFonts w:ascii="Arial" w:hAnsi="Arial" w:cs="Arial"/>
          <w:sz w:val="20"/>
          <w:szCs w:val="20"/>
        </w:rPr>
        <w:t xml:space="preserve"> de la unidad generadora de efectivo a la que pertenece el activo.</w:t>
      </w:r>
    </w:p>
    <w:p w:rsidR="00B80195" w:rsidRPr="0050759F" w:rsidRDefault="00B80195" w:rsidP="00B80195">
      <w:pPr>
        <w:autoSpaceDE w:val="0"/>
        <w:autoSpaceDN w:val="0"/>
        <w:adjustRightInd w:val="0"/>
        <w:ind w:left="567"/>
        <w:jc w:val="both"/>
        <w:rPr>
          <w:rFonts w:ascii="Arial" w:hAnsi="Arial" w:cs="Arial"/>
          <w:sz w:val="20"/>
          <w:szCs w:val="20"/>
        </w:rPr>
      </w:pPr>
    </w:p>
    <w:p w:rsidR="00B80195" w:rsidRPr="0050759F" w:rsidRDefault="00B80195" w:rsidP="00B80195">
      <w:pPr>
        <w:autoSpaceDE w:val="0"/>
        <w:autoSpaceDN w:val="0"/>
        <w:adjustRightInd w:val="0"/>
        <w:ind w:left="567"/>
        <w:jc w:val="both"/>
        <w:rPr>
          <w:rFonts w:ascii="Arial" w:hAnsi="Arial" w:cs="Arial"/>
          <w:sz w:val="20"/>
          <w:szCs w:val="20"/>
        </w:rPr>
      </w:pPr>
      <w:r w:rsidRPr="0050759F">
        <w:rPr>
          <w:rFonts w:ascii="Arial" w:hAnsi="Arial" w:cs="Arial"/>
          <w:sz w:val="20"/>
          <w:szCs w:val="20"/>
        </w:rPr>
        <w:t>El cálculo del valor en uso requiere que la Compañía determine los flujos de efectivo futuros que deberían surgir de las unidades generadoras de efectivo y una tasa de descuento apropiada para calcular el valor presente.</w:t>
      </w:r>
    </w:p>
    <w:p w:rsidR="00F01F91" w:rsidRDefault="00F01F91" w:rsidP="00B80195">
      <w:pPr>
        <w:autoSpaceDE w:val="0"/>
        <w:autoSpaceDN w:val="0"/>
        <w:adjustRightInd w:val="0"/>
        <w:ind w:left="567"/>
        <w:jc w:val="both"/>
        <w:rPr>
          <w:rFonts w:ascii="Arial" w:hAnsi="Arial" w:cs="Arial"/>
          <w:sz w:val="20"/>
          <w:szCs w:val="20"/>
        </w:rPr>
      </w:pPr>
    </w:p>
    <w:p w:rsidR="00B80195" w:rsidRPr="0050759F" w:rsidRDefault="00B80195" w:rsidP="00B80195">
      <w:pPr>
        <w:autoSpaceDE w:val="0"/>
        <w:autoSpaceDN w:val="0"/>
        <w:adjustRightInd w:val="0"/>
        <w:ind w:left="567"/>
        <w:jc w:val="both"/>
        <w:rPr>
          <w:rFonts w:ascii="Arial" w:hAnsi="Arial" w:cs="Arial"/>
          <w:sz w:val="20"/>
          <w:szCs w:val="20"/>
        </w:rPr>
      </w:pPr>
      <w:r w:rsidRPr="0050759F">
        <w:rPr>
          <w:rFonts w:ascii="Arial" w:hAnsi="Arial" w:cs="Arial"/>
          <w:sz w:val="20"/>
          <w:szCs w:val="20"/>
        </w:rPr>
        <w:t xml:space="preserve">En el caso de que el importe recuperable sea inferior al valor neto en libros del activo, se registra la correspondiente pérdida por deterioro, con cargo a resultados y son revertidas en los resultados cuando se produce un cambio en las estimaciones </w:t>
      </w:r>
    </w:p>
    <w:p w:rsidR="00B80195" w:rsidRDefault="00B80195" w:rsidP="00B80195">
      <w:pPr>
        <w:tabs>
          <w:tab w:val="left" w:pos="567"/>
        </w:tabs>
        <w:ind w:left="567"/>
        <w:jc w:val="both"/>
        <w:rPr>
          <w:rFonts w:ascii="Arial" w:hAnsi="Arial" w:cs="Arial"/>
          <w:sz w:val="20"/>
          <w:szCs w:val="20"/>
          <w:lang w:eastAsia="es-EC"/>
        </w:rPr>
      </w:pPr>
    </w:p>
    <w:p w:rsidR="00B80195" w:rsidRPr="0050759F" w:rsidRDefault="00B80195" w:rsidP="00B80195">
      <w:pPr>
        <w:numPr>
          <w:ilvl w:val="0"/>
          <w:numId w:val="2"/>
        </w:numPr>
        <w:tabs>
          <w:tab w:val="left" w:pos="567"/>
        </w:tabs>
        <w:ind w:left="567" w:hanging="567"/>
        <w:jc w:val="both"/>
        <w:rPr>
          <w:rFonts w:ascii="Arial" w:hAnsi="Arial" w:cs="Arial"/>
          <w:b/>
          <w:sz w:val="20"/>
          <w:szCs w:val="20"/>
          <w:lang w:eastAsia="es-EC"/>
        </w:rPr>
      </w:pPr>
      <w:r w:rsidRPr="0050759F">
        <w:rPr>
          <w:rFonts w:ascii="Arial" w:hAnsi="Arial" w:cs="Arial"/>
          <w:b/>
          <w:sz w:val="20"/>
          <w:szCs w:val="20"/>
          <w:lang w:eastAsia="es-EC"/>
        </w:rPr>
        <w:t>Beneficios post empleo</w:t>
      </w:r>
    </w:p>
    <w:p w:rsidR="00B80195" w:rsidRPr="0050759F" w:rsidRDefault="00B80195" w:rsidP="00B80195">
      <w:pPr>
        <w:tabs>
          <w:tab w:val="left" w:pos="567"/>
        </w:tabs>
        <w:ind w:left="567"/>
        <w:rPr>
          <w:rFonts w:ascii="Arial" w:hAnsi="Arial" w:cs="Arial"/>
          <w:sz w:val="20"/>
          <w:szCs w:val="20"/>
          <w:lang w:eastAsia="es-EC"/>
        </w:rPr>
      </w:pPr>
    </w:p>
    <w:p w:rsidR="00B80195" w:rsidRPr="0050759F" w:rsidRDefault="00B80195" w:rsidP="00B80195">
      <w:pPr>
        <w:tabs>
          <w:tab w:val="left" w:pos="567"/>
        </w:tabs>
        <w:ind w:left="567"/>
        <w:jc w:val="both"/>
        <w:rPr>
          <w:rFonts w:ascii="Arial" w:hAnsi="Arial" w:cs="Arial"/>
          <w:sz w:val="20"/>
          <w:szCs w:val="20"/>
          <w:lang w:eastAsia="es-EC"/>
        </w:rPr>
      </w:pPr>
      <w:r w:rsidRPr="0050759F">
        <w:rPr>
          <w:rFonts w:ascii="Arial" w:hAnsi="Arial" w:cs="Arial"/>
          <w:sz w:val="20"/>
          <w:szCs w:val="20"/>
          <w:lang w:eastAsia="es-EC"/>
        </w:rPr>
        <w:t>El cálculo actuarial efectuado por un especialista externo es en base al método de la unidad de crédito proyectada para determinar el valor presente de sus obligaciones por beneficios definidos. En el cálculo se utilizan suposiciones demográficas y financieras.</w:t>
      </w:r>
    </w:p>
    <w:p w:rsidR="00B80195" w:rsidRPr="0050759F" w:rsidRDefault="00B80195" w:rsidP="00B80195">
      <w:pPr>
        <w:tabs>
          <w:tab w:val="left" w:pos="1134"/>
        </w:tabs>
        <w:ind w:left="1134"/>
        <w:rPr>
          <w:rFonts w:ascii="Arial" w:hAnsi="Arial" w:cs="Arial"/>
          <w:sz w:val="20"/>
          <w:szCs w:val="20"/>
        </w:rPr>
      </w:pPr>
    </w:p>
    <w:p w:rsidR="00B80195" w:rsidRPr="0050759F" w:rsidRDefault="00B80195" w:rsidP="00161D0E">
      <w:pPr>
        <w:pStyle w:val="loweralpha1level1"/>
        <w:numPr>
          <w:ilvl w:val="0"/>
          <w:numId w:val="18"/>
        </w:numPr>
        <w:tabs>
          <w:tab w:val="clear" w:pos="420"/>
          <w:tab w:val="left" w:pos="1134"/>
        </w:tabs>
        <w:spacing w:after="0" w:line="240" w:lineRule="auto"/>
        <w:ind w:left="1134" w:hanging="567"/>
        <w:rPr>
          <w:rFonts w:ascii="Arial" w:hAnsi="Arial" w:cs="Arial"/>
          <w:color w:val="auto"/>
          <w:w w:val="100"/>
          <w:sz w:val="20"/>
          <w:szCs w:val="20"/>
          <w:lang w:val="es-ES"/>
        </w:rPr>
      </w:pPr>
      <w:r w:rsidRPr="0050759F">
        <w:rPr>
          <w:rFonts w:ascii="Arial" w:hAnsi="Arial" w:cs="Arial"/>
          <w:color w:val="auto"/>
          <w:w w:val="100"/>
          <w:sz w:val="20"/>
          <w:szCs w:val="20"/>
          <w:lang w:val="es-ES"/>
        </w:rPr>
        <w:t>Suposiciones demográficas acerca de las características de los empleados actuales y pasados que puedan recibir los beneficios. Las suposiciones demográficas son: (i) tasa promedio de sueldos a largo plazo; (ii) tasa interés actual; (iii) tasa descuento financiero; (iv) tasa inflación anual</w:t>
      </w:r>
      <w:proofErr w:type="gramStart"/>
      <w:r w:rsidRPr="0050759F">
        <w:rPr>
          <w:rFonts w:ascii="Arial" w:hAnsi="Arial" w:cs="Arial"/>
          <w:color w:val="auto"/>
          <w:w w:val="100"/>
          <w:sz w:val="20"/>
          <w:szCs w:val="20"/>
          <w:lang w:val="es-ES"/>
        </w:rPr>
        <w:t>;  (</w:t>
      </w:r>
      <w:proofErr w:type="gramEnd"/>
      <w:r w:rsidRPr="0050759F">
        <w:rPr>
          <w:rFonts w:ascii="Arial" w:hAnsi="Arial" w:cs="Arial"/>
          <w:color w:val="auto"/>
          <w:w w:val="100"/>
          <w:sz w:val="20"/>
          <w:szCs w:val="20"/>
          <w:lang w:val="es-ES"/>
        </w:rPr>
        <w:t>v) tasa de rendimiento de los activos de plan.</w:t>
      </w:r>
    </w:p>
    <w:p w:rsidR="00B80195" w:rsidRPr="0050759F" w:rsidRDefault="00B80195" w:rsidP="00161D0E">
      <w:pPr>
        <w:pStyle w:val="loweralpha1level1"/>
        <w:numPr>
          <w:ilvl w:val="0"/>
          <w:numId w:val="18"/>
        </w:numPr>
        <w:tabs>
          <w:tab w:val="clear" w:pos="420"/>
          <w:tab w:val="left" w:pos="1134"/>
        </w:tabs>
        <w:spacing w:after="0" w:line="240" w:lineRule="auto"/>
        <w:ind w:left="1134" w:hanging="567"/>
        <w:rPr>
          <w:rFonts w:ascii="Arial" w:hAnsi="Arial" w:cs="Arial"/>
          <w:color w:val="auto"/>
          <w:w w:val="100"/>
          <w:sz w:val="20"/>
          <w:szCs w:val="20"/>
          <w:lang w:val="es-ES"/>
        </w:rPr>
      </w:pPr>
      <w:r w:rsidRPr="0050759F">
        <w:rPr>
          <w:rFonts w:ascii="Arial" w:hAnsi="Arial" w:cs="Arial"/>
          <w:color w:val="auto"/>
          <w:w w:val="100"/>
          <w:sz w:val="20"/>
          <w:szCs w:val="20"/>
          <w:lang w:val="es-ES"/>
        </w:rPr>
        <w:t>Suposiciones financieras, tienen relación con los siguientes elementos: (a) la tasa de descuento; y, (b) los niveles de beneficio a satisfacer a los empleados y salarios futuros.</w:t>
      </w:r>
    </w:p>
    <w:p w:rsidR="00B80195" w:rsidRPr="0050759F" w:rsidRDefault="00B80195" w:rsidP="00B80195">
      <w:pPr>
        <w:pStyle w:val="loweralpha1level1"/>
        <w:tabs>
          <w:tab w:val="clear" w:pos="420"/>
          <w:tab w:val="left" w:pos="1701"/>
        </w:tabs>
        <w:spacing w:after="0" w:line="240" w:lineRule="auto"/>
        <w:ind w:left="567" w:firstLine="0"/>
        <w:rPr>
          <w:rFonts w:ascii="Arial" w:hAnsi="Arial" w:cs="Arial"/>
          <w:color w:val="auto"/>
          <w:w w:val="100"/>
          <w:sz w:val="20"/>
          <w:szCs w:val="20"/>
          <w:lang w:val="es-ES"/>
        </w:rPr>
      </w:pPr>
    </w:p>
    <w:p w:rsidR="00B80195" w:rsidRPr="0050759F" w:rsidRDefault="00B80195" w:rsidP="00B80195">
      <w:pPr>
        <w:numPr>
          <w:ilvl w:val="0"/>
          <w:numId w:val="2"/>
        </w:numPr>
        <w:tabs>
          <w:tab w:val="left" w:pos="567"/>
        </w:tabs>
        <w:ind w:left="567" w:hanging="567"/>
        <w:jc w:val="both"/>
        <w:rPr>
          <w:rFonts w:ascii="Arial" w:hAnsi="Arial" w:cs="Arial"/>
          <w:b/>
          <w:bCs/>
          <w:sz w:val="20"/>
          <w:szCs w:val="20"/>
        </w:rPr>
      </w:pPr>
      <w:bookmarkStart w:id="4" w:name="_Toc386654209"/>
      <w:r w:rsidRPr="0050759F">
        <w:rPr>
          <w:rFonts w:ascii="Arial" w:hAnsi="Arial" w:cs="Arial"/>
          <w:b/>
          <w:bCs/>
          <w:sz w:val="20"/>
          <w:szCs w:val="20"/>
        </w:rPr>
        <w:t>Estimación para cubrir litigios</w:t>
      </w:r>
      <w:bookmarkEnd w:id="4"/>
    </w:p>
    <w:p w:rsidR="00B80195" w:rsidRPr="0050759F" w:rsidRDefault="00B80195" w:rsidP="00B80195">
      <w:pPr>
        <w:tabs>
          <w:tab w:val="left" w:pos="567"/>
        </w:tabs>
        <w:ind w:left="567"/>
        <w:rPr>
          <w:rFonts w:ascii="Arial" w:hAnsi="Arial" w:cs="Arial"/>
          <w:sz w:val="20"/>
          <w:szCs w:val="20"/>
          <w:lang w:eastAsia="es-EC"/>
        </w:rPr>
      </w:pPr>
    </w:p>
    <w:p w:rsidR="00B80195" w:rsidRPr="0050759F" w:rsidRDefault="00B80195" w:rsidP="00B80195">
      <w:pPr>
        <w:tabs>
          <w:tab w:val="left" w:pos="567"/>
        </w:tabs>
        <w:ind w:left="567"/>
        <w:rPr>
          <w:rFonts w:ascii="Arial" w:hAnsi="Arial" w:cs="Arial"/>
          <w:sz w:val="20"/>
          <w:szCs w:val="20"/>
          <w:lang w:eastAsia="es-EC"/>
        </w:rPr>
      </w:pPr>
      <w:r w:rsidRPr="0050759F">
        <w:rPr>
          <w:rFonts w:ascii="Arial" w:hAnsi="Arial" w:cs="Arial"/>
          <w:sz w:val="20"/>
          <w:szCs w:val="20"/>
          <w:lang w:eastAsia="es-EC"/>
        </w:rPr>
        <w:t>La Entidad reconoce, obligaciones de aquellos sucesos de tipo legal o implícito para la Compañía; estos sucesos son reconocidos cuando:</w:t>
      </w:r>
    </w:p>
    <w:p w:rsidR="00B80195" w:rsidRPr="0050759F" w:rsidRDefault="00B80195" w:rsidP="00161D0E">
      <w:pPr>
        <w:numPr>
          <w:ilvl w:val="0"/>
          <w:numId w:val="20"/>
        </w:numPr>
        <w:tabs>
          <w:tab w:val="left" w:pos="1134"/>
        </w:tabs>
        <w:ind w:left="1134" w:hanging="567"/>
        <w:rPr>
          <w:rFonts w:ascii="Arial" w:hAnsi="Arial" w:cs="Arial"/>
          <w:sz w:val="20"/>
          <w:szCs w:val="20"/>
          <w:lang w:eastAsia="es-EC"/>
        </w:rPr>
      </w:pPr>
      <w:r w:rsidRPr="0050759F">
        <w:rPr>
          <w:rFonts w:ascii="Arial" w:hAnsi="Arial" w:cs="Arial"/>
          <w:sz w:val="20"/>
          <w:szCs w:val="20"/>
          <w:lang w:eastAsia="es-EC"/>
        </w:rPr>
        <w:t xml:space="preserve">La entidad tenga una obligación en la fecha sobre la que se informa como resultado </w:t>
      </w:r>
      <w:proofErr w:type="gramStart"/>
      <w:r w:rsidRPr="0050759F">
        <w:rPr>
          <w:rFonts w:ascii="Arial" w:hAnsi="Arial" w:cs="Arial"/>
          <w:sz w:val="20"/>
          <w:szCs w:val="20"/>
          <w:lang w:eastAsia="es-EC"/>
        </w:rPr>
        <w:t>de  un</w:t>
      </w:r>
      <w:proofErr w:type="gramEnd"/>
      <w:r w:rsidRPr="0050759F">
        <w:rPr>
          <w:rFonts w:ascii="Arial" w:hAnsi="Arial" w:cs="Arial"/>
          <w:sz w:val="20"/>
          <w:szCs w:val="20"/>
          <w:lang w:eastAsia="es-EC"/>
        </w:rPr>
        <w:t xml:space="preserve"> suceso pasado.</w:t>
      </w:r>
    </w:p>
    <w:p w:rsidR="00B80195" w:rsidRPr="0050759F" w:rsidRDefault="00B80195" w:rsidP="00161D0E">
      <w:pPr>
        <w:numPr>
          <w:ilvl w:val="0"/>
          <w:numId w:val="20"/>
        </w:numPr>
        <w:tabs>
          <w:tab w:val="left" w:pos="1134"/>
        </w:tabs>
        <w:ind w:left="1134" w:hanging="567"/>
        <w:rPr>
          <w:rFonts w:ascii="Arial" w:hAnsi="Arial" w:cs="Arial"/>
          <w:sz w:val="20"/>
          <w:szCs w:val="20"/>
          <w:lang w:eastAsia="es-EC"/>
        </w:rPr>
      </w:pPr>
      <w:r w:rsidRPr="0050759F">
        <w:rPr>
          <w:rFonts w:ascii="Arial" w:hAnsi="Arial" w:cs="Arial"/>
          <w:sz w:val="20"/>
          <w:szCs w:val="20"/>
          <w:lang w:eastAsia="es-EC"/>
        </w:rPr>
        <w:lastRenderedPageBreak/>
        <w:t>Cuando sea probable que la entidad tenga que desprenderse de recursos o beneficios económicos, para liquidar la obligación; y,</w:t>
      </w:r>
    </w:p>
    <w:p w:rsidR="00B80195" w:rsidRPr="0050759F" w:rsidRDefault="00B80195" w:rsidP="00161D0E">
      <w:pPr>
        <w:numPr>
          <w:ilvl w:val="0"/>
          <w:numId w:val="20"/>
        </w:numPr>
        <w:tabs>
          <w:tab w:val="left" w:pos="1134"/>
        </w:tabs>
        <w:ind w:left="1134" w:hanging="567"/>
        <w:rPr>
          <w:rFonts w:ascii="Arial" w:hAnsi="Arial" w:cs="Arial"/>
          <w:w w:val="104"/>
          <w:sz w:val="20"/>
          <w:szCs w:val="20"/>
          <w:lang w:val="es-EC"/>
        </w:rPr>
      </w:pPr>
      <w:r w:rsidRPr="0050759F">
        <w:rPr>
          <w:rFonts w:ascii="Arial" w:hAnsi="Arial" w:cs="Arial"/>
          <w:sz w:val="20"/>
          <w:szCs w:val="20"/>
          <w:lang w:eastAsia="es-EC"/>
        </w:rPr>
        <w:t>El importe</w:t>
      </w:r>
      <w:r w:rsidRPr="0050759F">
        <w:rPr>
          <w:rFonts w:ascii="Arial" w:hAnsi="Arial" w:cs="Arial"/>
          <w:w w:val="104"/>
          <w:sz w:val="20"/>
          <w:szCs w:val="20"/>
          <w:lang w:val="es-EC"/>
        </w:rPr>
        <w:t xml:space="preserve"> de la obligación pueda ser estimado de forma fiable.</w:t>
      </w:r>
    </w:p>
    <w:p w:rsidR="00B80195" w:rsidRPr="0050759F" w:rsidRDefault="00B80195" w:rsidP="00B80195">
      <w:pPr>
        <w:tabs>
          <w:tab w:val="left" w:pos="567"/>
        </w:tabs>
        <w:ind w:left="567"/>
        <w:rPr>
          <w:rFonts w:ascii="Arial" w:hAnsi="Arial" w:cs="Arial"/>
          <w:sz w:val="20"/>
          <w:szCs w:val="20"/>
          <w:lang w:eastAsia="es-EC"/>
        </w:rPr>
      </w:pPr>
    </w:p>
    <w:p w:rsidR="00B80195" w:rsidRPr="0050759F" w:rsidRDefault="00B80195" w:rsidP="00B80195">
      <w:pPr>
        <w:tabs>
          <w:tab w:val="left" w:pos="567"/>
        </w:tabs>
        <w:ind w:left="567"/>
        <w:rPr>
          <w:rFonts w:ascii="Arial" w:hAnsi="Arial" w:cs="Arial"/>
          <w:sz w:val="20"/>
          <w:szCs w:val="20"/>
          <w:lang w:eastAsia="es-EC"/>
        </w:rPr>
      </w:pPr>
      <w:r w:rsidRPr="0050759F">
        <w:rPr>
          <w:rFonts w:ascii="Arial" w:hAnsi="Arial" w:cs="Arial"/>
          <w:sz w:val="20"/>
          <w:szCs w:val="20"/>
          <w:lang w:eastAsia="es-EC"/>
        </w:rPr>
        <w:t>Se reconoce la provisión como un pasivo en el estado de situación financiera y como un gasto en el estado de resultados del período.</w:t>
      </w:r>
    </w:p>
    <w:p w:rsidR="007E74A5" w:rsidRDefault="007E74A5" w:rsidP="00B80195">
      <w:pPr>
        <w:jc w:val="both"/>
        <w:rPr>
          <w:rFonts w:ascii="Arial" w:hAnsi="Arial" w:cs="Arial"/>
          <w:sz w:val="20"/>
          <w:szCs w:val="20"/>
        </w:rPr>
      </w:pPr>
    </w:p>
    <w:p w:rsidR="00B80195" w:rsidRPr="005163D8" w:rsidRDefault="00B80195" w:rsidP="00161D0E">
      <w:pPr>
        <w:pStyle w:val="Cuerpodeltexto20"/>
        <w:numPr>
          <w:ilvl w:val="0"/>
          <w:numId w:val="7"/>
        </w:numPr>
        <w:shd w:val="clear" w:color="auto" w:fill="auto"/>
        <w:spacing w:line="240" w:lineRule="auto"/>
        <w:ind w:left="567" w:hanging="567"/>
        <w:jc w:val="both"/>
        <w:rPr>
          <w:b/>
          <w:sz w:val="20"/>
          <w:szCs w:val="20"/>
        </w:rPr>
      </w:pPr>
      <w:r w:rsidRPr="005163D8">
        <w:rPr>
          <w:b/>
          <w:sz w:val="20"/>
          <w:szCs w:val="20"/>
        </w:rPr>
        <w:t>Impuesto a la renta diferido</w:t>
      </w:r>
    </w:p>
    <w:p w:rsidR="00B80195" w:rsidRPr="005163D8" w:rsidRDefault="00B80195" w:rsidP="00B80195">
      <w:pPr>
        <w:pStyle w:val="Cuerpodeltexto20"/>
        <w:shd w:val="clear" w:color="auto" w:fill="auto"/>
        <w:spacing w:line="240" w:lineRule="auto"/>
        <w:ind w:firstLine="0"/>
        <w:jc w:val="both"/>
        <w:rPr>
          <w:sz w:val="20"/>
          <w:szCs w:val="20"/>
        </w:rPr>
      </w:pPr>
    </w:p>
    <w:p w:rsidR="00B80195" w:rsidRPr="005163D8" w:rsidRDefault="00B80195" w:rsidP="00B80195">
      <w:pPr>
        <w:pStyle w:val="Cuerpodeltexto20"/>
        <w:shd w:val="clear" w:color="auto" w:fill="auto"/>
        <w:spacing w:line="240" w:lineRule="auto"/>
        <w:ind w:left="567" w:firstLine="0"/>
        <w:jc w:val="both"/>
        <w:rPr>
          <w:sz w:val="20"/>
          <w:szCs w:val="20"/>
        </w:rPr>
      </w:pPr>
      <w:r w:rsidRPr="005163D8">
        <w:rPr>
          <w:sz w:val="20"/>
          <w:szCs w:val="20"/>
        </w:rPr>
        <w:t>La Compañía ha realizado la estimación de sus impuestos diferidos considerando que todas las diferencias entre el valor en libros y la base tributaria de los activos y pasivos se revertirán en el futuro.</w:t>
      </w:r>
    </w:p>
    <w:p w:rsidR="00B80195" w:rsidRPr="005163D8" w:rsidRDefault="00B80195" w:rsidP="00B80195">
      <w:pPr>
        <w:pStyle w:val="Cuerpodeltexto20"/>
        <w:shd w:val="clear" w:color="auto" w:fill="auto"/>
        <w:spacing w:line="240" w:lineRule="auto"/>
        <w:ind w:firstLine="0"/>
        <w:jc w:val="both"/>
        <w:rPr>
          <w:sz w:val="20"/>
          <w:szCs w:val="20"/>
        </w:rPr>
      </w:pPr>
    </w:p>
    <w:p w:rsidR="00B80195" w:rsidRPr="005163D8" w:rsidRDefault="00B80195" w:rsidP="00B80195">
      <w:pPr>
        <w:pStyle w:val="Cuerpodeltexto20"/>
        <w:shd w:val="clear" w:color="auto" w:fill="auto"/>
        <w:spacing w:line="240" w:lineRule="auto"/>
        <w:ind w:left="567" w:firstLine="0"/>
        <w:jc w:val="both"/>
        <w:rPr>
          <w:sz w:val="20"/>
          <w:szCs w:val="20"/>
        </w:rPr>
      </w:pPr>
      <w:r w:rsidRPr="005163D8">
        <w:rPr>
          <w:sz w:val="20"/>
          <w:szCs w:val="20"/>
        </w:rPr>
        <w:t>La tasa de impuesto a la renta usada para determinar los activos y pasivos por impuestos diferidos es calculada aplicando la tasa de impuesto a la renta vigente a la fecha de cierre del periodo sobre el que se informa.</w:t>
      </w:r>
    </w:p>
    <w:p w:rsidR="00B80195" w:rsidRPr="005163D8" w:rsidRDefault="00B80195" w:rsidP="00B80195">
      <w:pPr>
        <w:pStyle w:val="Cuerpodeltexto20"/>
        <w:shd w:val="clear" w:color="auto" w:fill="auto"/>
        <w:spacing w:line="240" w:lineRule="auto"/>
        <w:ind w:firstLine="0"/>
        <w:jc w:val="both"/>
        <w:rPr>
          <w:sz w:val="20"/>
          <w:szCs w:val="20"/>
        </w:rPr>
      </w:pPr>
    </w:p>
    <w:p w:rsidR="00B80195" w:rsidRDefault="00B80195" w:rsidP="00B80195">
      <w:pPr>
        <w:pStyle w:val="Cuerpodeltexto20"/>
        <w:shd w:val="clear" w:color="auto" w:fill="auto"/>
        <w:spacing w:line="240" w:lineRule="auto"/>
        <w:ind w:left="567" w:firstLine="0"/>
        <w:jc w:val="both"/>
        <w:rPr>
          <w:sz w:val="20"/>
          <w:szCs w:val="20"/>
        </w:rPr>
      </w:pPr>
      <w:r w:rsidRPr="005163D8">
        <w:rPr>
          <w:sz w:val="20"/>
          <w:szCs w:val="20"/>
        </w:rPr>
        <w:t>Los activos por impuesto a la renta diferidos, se deben reconocer en el balance general, los activos diferidos de impuesto a la renta que se derivan de las pérdidas tributarias no amortizadas, el tratamiento contable de las inversiones en desarrollo y los beneficios laborales de largo plazo las cuales requieren ser evaluados por la administración para definir la probabilidad de que la Compañía pueda generar suficientes ganancias gravables en ejercicios futuros, a fin de utilizar los activos diferidos del impuesto a la renta reconocidos. Las suposiciones sobre la generación de ganancias gravables futuras dependen de las estimaciones realizadas por la Administración de los flujos de efectivo futuros. Las cuales se basan en los flujos de efectivo proyectados de las operaciones (que se ven afectados por los volúmenes de producción y ventas, precios del petróleo, reservas, costos de operación, costos de abandono, gastos de capital, dividendos y otras operaciones de gestión del capital) y el criterio sobre la aplicación de las leyes tributarias existentes. En la medida en que los flujos de efectivo futuros y las ganancias gravables difieran significativamente de las estimaciones, podría verse afectada la capacidad de la Compañía de realizar los activos diferidos netos del impuesto a la renta reportado.</w:t>
      </w:r>
    </w:p>
    <w:p w:rsidR="007E74A5" w:rsidRDefault="007E74A5" w:rsidP="00B80195">
      <w:pPr>
        <w:rPr>
          <w:rFonts w:ascii="Arial" w:hAnsi="Arial" w:cs="Arial"/>
          <w:b/>
          <w:sz w:val="20"/>
          <w:szCs w:val="20"/>
          <w:lang w:eastAsia="es-EC"/>
        </w:rPr>
      </w:pPr>
    </w:p>
    <w:p w:rsidR="00B80195" w:rsidRPr="00692A84" w:rsidRDefault="00B80195" w:rsidP="00B80195">
      <w:pPr>
        <w:jc w:val="both"/>
        <w:rPr>
          <w:rFonts w:ascii="Arial" w:hAnsi="Arial" w:cs="Arial"/>
          <w:sz w:val="20"/>
          <w:szCs w:val="20"/>
          <w:lang w:eastAsia="es-EC"/>
        </w:rPr>
      </w:pPr>
      <w:r w:rsidRPr="00692A84">
        <w:rPr>
          <w:rFonts w:ascii="Arial" w:hAnsi="Arial" w:cs="Arial"/>
          <w:b/>
          <w:bCs/>
          <w:sz w:val="20"/>
          <w:szCs w:val="20"/>
        </w:rPr>
        <w:t>Valor razonable</w:t>
      </w:r>
    </w:p>
    <w:p w:rsidR="00B80195" w:rsidRPr="00692A84" w:rsidRDefault="00B80195" w:rsidP="00B80195">
      <w:pPr>
        <w:tabs>
          <w:tab w:val="right" w:pos="9072"/>
        </w:tabs>
        <w:jc w:val="both"/>
        <w:rPr>
          <w:rFonts w:ascii="Arial" w:hAnsi="Arial" w:cs="Arial"/>
          <w:bCs/>
          <w:sz w:val="20"/>
          <w:szCs w:val="20"/>
        </w:rPr>
      </w:pPr>
    </w:p>
    <w:p w:rsidR="00B80195" w:rsidRPr="00692A84" w:rsidRDefault="00B80195" w:rsidP="00B80195">
      <w:pPr>
        <w:tabs>
          <w:tab w:val="right" w:pos="9072"/>
        </w:tabs>
        <w:jc w:val="both"/>
        <w:rPr>
          <w:rFonts w:ascii="Arial" w:hAnsi="Arial" w:cs="Arial"/>
          <w:bCs/>
          <w:sz w:val="20"/>
          <w:szCs w:val="20"/>
        </w:rPr>
      </w:pPr>
      <w:r w:rsidRPr="00692A84">
        <w:rPr>
          <w:rFonts w:ascii="Arial" w:hAnsi="Arial" w:cs="Arial"/>
          <w:bCs/>
          <w:sz w:val="20"/>
          <w:szCs w:val="20"/>
        </w:rPr>
        <w:t>El valor razonable es definido como el importe por el cual un activo podría ser intercambiado o un pasivo liquidado entre partes conocedoras y dispuestas a ello en una transacción corriente, bajo el supuesto de que la entidad es una empresa en marcha.</w:t>
      </w:r>
    </w:p>
    <w:p w:rsidR="00911D18" w:rsidRDefault="00911D18" w:rsidP="00B80195">
      <w:pPr>
        <w:tabs>
          <w:tab w:val="right" w:pos="9072"/>
        </w:tabs>
        <w:jc w:val="both"/>
        <w:rPr>
          <w:rFonts w:ascii="Arial" w:hAnsi="Arial" w:cs="Arial"/>
          <w:bCs/>
          <w:sz w:val="20"/>
          <w:szCs w:val="20"/>
        </w:rPr>
      </w:pPr>
    </w:p>
    <w:p w:rsidR="00B80195" w:rsidRPr="00692A84" w:rsidRDefault="00B80195" w:rsidP="00B80195">
      <w:pPr>
        <w:tabs>
          <w:tab w:val="right" w:pos="9072"/>
        </w:tabs>
        <w:jc w:val="both"/>
        <w:rPr>
          <w:rFonts w:ascii="Arial" w:hAnsi="Arial" w:cs="Arial"/>
          <w:bCs/>
          <w:sz w:val="20"/>
          <w:szCs w:val="20"/>
        </w:rPr>
      </w:pPr>
      <w:r w:rsidRPr="00692A84">
        <w:rPr>
          <w:rFonts w:ascii="Arial" w:hAnsi="Arial" w:cs="Arial"/>
          <w:bCs/>
          <w:sz w:val="20"/>
          <w:szCs w:val="20"/>
        </w:rPr>
        <w:t>Las técnicas utilizadas para determinar el valor razonable de los instru</w:t>
      </w:r>
      <w:r>
        <w:rPr>
          <w:rFonts w:ascii="Arial" w:hAnsi="Arial" w:cs="Arial"/>
          <w:bCs/>
          <w:sz w:val="20"/>
          <w:szCs w:val="20"/>
        </w:rPr>
        <w:t xml:space="preserve">mentos se describen en la nota 3 (a). </w:t>
      </w:r>
      <w:r w:rsidRPr="00692A84">
        <w:rPr>
          <w:rFonts w:ascii="Arial" w:hAnsi="Arial" w:cs="Arial"/>
          <w:bCs/>
          <w:sz w:val="20"/>
          <w:szCs w:val="20"/>
        </w:rPr>
        <w:t>Resumen de las principales políticas contables.</w:t>
      </w:r>
    </w:p>
    <w:p w:rsidR="00B80195" w:rsidRPr="00692A84" w:rsidRDefault="00B80195" w:rsidP="00B80195">
      <w:pPr>
        <w:tabs>
          <w:tab w:val="right" w:pos="9072"/>
        </w:tabs>
        <w:jc w:val="both"/>
        <w:rPr>
          <w:rFonts w:ascii="Arial" w:hAnsi="Arial" w:cs="Arial"/>
          <w:bCs/>
          <w:sz w:val="20"/>
          <w:szCs w:val="20"/>
        </w:rPr>
      </w:pPr>
    </w:p>
    <w:p w:rsidR="00911D18" w:rsidRDefault="00B80195" w:rsidP="00B80195">
      <w:pPr>
        <w:tabs>
          <w:tab w:val="right" w:pos="9072"/>
        </w:tabs>
        <w:jc w:val="both"/>
        <w:rPr>
          <w:rFonts w:ascii="Arial" w:hAnsi="Arial" w:cs="Arial"/>
          <w:bCs/>
          <w:sz w:val="20"/>
          <w:szCs w:val="20"/>
        </w:rPr>
      </w:pPr>
      <w:r w:rsidRPr="00692A84">
        <w:rPr>
          <w:rFonts w:ascii="Arial" w:hAnsi="Arial" w:cs="Arial"/>
          <w:bCs/>
          <w:sz w:val="20"/>
          <w:szCs w:val="20"/>
        </w:rPr>
        <w:t xml:space="preserve">La Compañía ha utilizado su mejor juicio en la estimación de los valores razonables de sus instrumentos financieros, cualquier técnica para efectuar dicho estimado conlleva cierto nivel de fragilidad inherente. </w:t>
      </w:r>
    </w:p>
    <w:p w:rsidR="00911D18" w:rsidRDefault="00911D18" w:rsidP="00B80195">
      <w:pPr>
        <w:tabs>
          <w:tab w:val="right" w:pos="9072"/>
        </w:tabs>
        <w:jc w:val="both"/>
        <w:rPr>
          <w:rFonts w:ascii="Arial" w:hAnsi="Arial" w:cs="Arial"/>
          <w:bCs/>
          <w:sz w:val="20"/>
          <w:szCs w:val="20"/>
        </w:rPr>
      </w:pPr>
    </w:p>
    <w:p w:rsidR="00B80195" w:rsidRPr="00692A84" w:rsidRDefault="00B80195" w:rsidP="00B80195">
      <w:pPr>
        <w:tabs>
          <w:tab w:val="right" w:pos="9072"/>
        </w:tabs>
        <w:jc w:val="both"/>
        <w:rPr>
          <w:rFonts w:ascii="Arial" w:hAnsi="Arial" w:cs="Arial"/>
          <w:bCs/>
          <w:sz w:val="20"/>
          <w:szCs w:val="20"/>
        </w:rPr>
      </w:pPr>
      <w:r w:rsidRPr="00692A84">
        <w:rPr>
          <w:rFonts w:ascii="Arial" w:hAnsi="Arial" w:cs="Arial"/>
          <w:bCs/>
          <w:sz w:val="20"/>
          <w:szCs w:val="20"/>
        </w:rPr>
        <w:t>Como resultado, el valor razonable no puede ser indicativo del valor neto de realización o de liquidación de los instrumentos financieros.</w:t>
      </w:r>
    </w:p>
    <w:p w:rsidR="00B80195" w:rsidRPr="00692A84" w:rsidRDefault="00B80195" w:rsidP="00B80195">
      <w:pPr>
        <w:tabs>
          <w:tab w:val="right" w:pos="9072"/>
        </w:tabs>
        <w:jc w:val="both"/>
        <w:rPr>
          <w:rFonts w:ascii="Arial" w:hAnsi="Arial" w:cs="Arial"/>
          <w:bCs/>
          <w:sz w:val="20"/>
          <w:szCs w:val="20"/>
        </w:rPr>
      </w:pPr>
    </w:p>
    <w:p w:rsidR="00B80195" w:rsidRPr="00692A84" w:rsidRDefault="00B80195" w:rsidP="00B80195">
      <w:pPr>
        <w:jc w:val="both"/>
        <w:rPr>
          <w:rFonts w:ascii="Arial" w:hAnsi="Arial" w:cs="Arial"/>
          <w:bCs/>
          <w:sz w:val="20"/>
          <w:szCs w:val="20"/>
        </w:rPr>
      </w:pPr>
      <w:r w:rsidRPr="00692A84">
        <w:rPr>
          <w:rFonts w:ascii="Arial" w:hAnsi="Arial" w:cs="Arial"/>
          <w:bCs/>
          <w:sz w:val="20"/>
          <w:szCs w:val="20"/>
        </w:rPr>
        <w:t>Los siguientes métodos y supuestos fueron utilizados para estimar los valores razonables:</w:t>
      </w:r>
    </w:p>
    <w:p w:rsidR="00B80195" w:rsidRPr="00692A84" w:rsidRDefault="00B80195" w:rsidP="00B80195">
      <w:pPr>
        <w:ind w:left="1134" w:hanging="567"/>
        <w:jc w:val="both"/>
        <w:rPr>
          <w:rFonts w:ascii="Arial" w:hAnsi="Arial" w:cs="Arial"/>
          <w:bCs/>
          <w:sz w:val="20"/>
          <w:szCs w:val="20"/>
        </w:rPr>
      </w:pPr>
    </w:p>
    <w:p w:rsidR="00B80195" w:rsidRPr="00692A84" w:rsidRDefault="00B80195" w:rsidP="00B80195">
      <w:pPr>
        <w:numPr>
          <w:ilvl w:val="0"/>
          <w:numId w:val="1"/>
        </w:numPr>
        <w:ind w:left="567" w:hanging="567"/>
        <w:jc w:val="both"/>
        <w:rPr>
          <w:rFonts w:ascii="Arial" w:hAnsi="Arial" w:cs="Arial"/>
          <w:bCs/>
          <w:sz w:val="20"/>
          <w:szCs w:val="20"/>
        </w:rPr>
      </w:pPr>
      <w:r w:rsidRPr="00692A84">
        <w:rPr>
          <w:rFonts w:ascii="Arial" w:hAnsi="Arial" w:cs="Arial"/>
          <w:bCs/>
          <w:sz w:val="20"/>
          <w:szCs w:val="20"/>
        </w:rPr>
        <w:t>Instrumentos financieros cuyo valor razonable es similar al valor en libros</w:t>
      </w:r>
    </w:p>
    <w:p w:rsidR="00B80195" w:rsidRPr="00692A84" w:rsidRDefault="00B80195" w:rsidP="00B80195">
      <w:pPr>
        <w:ind w:left="567"/>
        <w:jc w:val="both"/>
        <w:rPr>
          <w:rFonts w:ascii="Arial" w:hAnsi="Arial" w:cs="Arial"/>
          <w:bCs/>
          <w:sz w:val="20"/>
          <w:szCs w:val="20"/>
        </w:rPr>
      </w:pPr>
    </w:p>
    <w:p w:rsidR="00B80195" w:rsidRPr="00692A84" w:rsidRDefault="00B80195" w:rsidP="00B80195">
      <w:pPr>
        <w:ind w:left="567"/>
        <w:jc w:val="both"/>
        <w:rPr>
          <w:rFonts w:ascii="Arial" w:hAnsi="Arial" w:cs="Arial"/>
          <w:bCs/>
          <w:sz w:val="20"/>
          <w:szCs w:val="20"/>
        </w:rPr>
      </w:pPr>
      <w:r w:rsidRPr="00692A84">
        <w:rPr>
          <w:rFonts w:ascii="Arial" w:hAnsi="Arial" w:cs="Arial"/>
          <w:bCs/>
          <w:sz w:val="20"/>
          <w:szCs w:val="20"/>
        </w:rPr>
        <w:t xml:space="preserve">Los activos y pasivos financieros líquidos o tienen vencimientos a corto plazo (menor a tres meses), como efectivo y equivalentes de efectivo, deudores comerciales, otras cuentas por </w:t>
      </w:r>
      <w:r w:rsidRPr="00692A84">
        <w:rPr>
          <w:rFonts w:ascii="Arial" w:hAnsi="Arial" w:cs="Arial"/>
          <w:bCs/>
          <w:sz w:val="20"/>
          <w:szCs w:val="20"/>
        </w:rPr>
        <w:lastRenderedPageBreak/>
        <w:t>cobrar, acreedores comerciales y otras cuentas por pagar y otros pasivos corrientes, se considera que el valor en libros es similar al valor razonable.</w:t>
      </w:r>
    </w:p>
    <w:p w:rsidR="002B1398" w:rsidRPr="00692A84" w:rsidRDefault="002B1398" w:rsidP="00B80195">
      <w:pPr>
        <w:ind w:left="567"/>
        <w:jc w:val="both"/>
        <w:rPr>
          <w:rFonts w:ascii="Arial" w:hAnsi="Arial" w:cs="Arial"/>
          <w:bCs/>
          <w:sz w:val="20"/>
          <w:szCs w:val="20"/>
        </w:rPr>
      </w:pPr>
    </w:p>
    <w:p w:rsidR="00B80195" w:rsidRPr="00692A84" w:rsidRDefault="00B80195" w:rsidP="00B80195">
      <w:pPr>
        <w:numPr>
          <w:ilvl w:val="0"/>
          <w:numId w:val="1"/>
        </w:numPr>
        <w:ind w:left="567" w:hanging="567"/>
        <w:jc w:val="both"/>
        <w:rPr>
          <w:rFonts w:ascii="Arial" w:hAnsi="Arial" w:cs="Arial"/>
          <w:bCs/>
          <w:sz w:val="20"/>
          <w:szCs w:val="20"/>
        </w:rPr>
      </w:pPr>
      <w:r w:rsidRPr="00692A84">
        <w:rPr>
          <w:rFonts w:ascii="Arial" w:hAnsi="Arial" w:cs="Arial"/>
          <w:bCs/>
          <w:sz w:val="20"/>
          <w:szCs w:val="20"/>
        </w:rPr>
        <w:t>Instrumentos financieros a tasa fija</w:t>
      </w:r>
    </w:p>
    <w:p w:rsidR="00B80195" w:rsidRPr="00692A84" w:rsidRDefault="00B80195" w:rsidP="00B80195">
      <w:pPr>
        <w:ind w:left="567"/>
        <w:jc w:val="both"/>
        <w:rPr>
          <w:rFonts w:ascii="Arial" w:hAnsi="Arial" w:cs="Arial"/>
          <w:bCs/>
          <w:sz w:val="20"/>
          <w:szCs w:val="20"/>
        </w:rPr>
      </w:pPr>
    </w:p>
    <w:p w:rsidR="00B80195" w:rsidRPr="00692A84" w:rsidRDefault="00B80195" w:rsidP="00B80195">
      <w:pPr>
        <w:ind w:left="567"/>
        <w:jc w:val="both"/>
        <w:rPr>
          <w:rFonts w:ascii="Arial" w:hAnsi="Arial" w:cs="Arial"/>
          <w:bCs/>
          <w:sz w:val="20"/>
          <w:szCs w:val="20"/>
        </w:rPr>
      </w:pPr>
      <w:r w:rsidRPr="00692A84">
        <w:rPr>
          <w:rFonts w:ascii="Arial" w:hAnsi="Arial" w:cs="Arial"/>
          <w:bCs/>
          <w:sz w:val="20"/>
          <w:szCs w:val="20"/>
        </w:rPr>
        <w:t>El valor razonable de los activos y pasivos financieros que se encuentran a tasas fija y a costo amortizado, se determina comparando las tasas de interés del mercado en el momento de su reconocimiento inicial con las tasas de mercado actuales relacionadas con instrumentos financieros similares.</w:t>
      </w:r>
    </w:p>
    <w:p w:rsidR="00B80195" w:rsidRPr="00692A84" w:rsidRDefault="00B80195" w:rsidP="00B80195">
      <w:pPr>
        <w:ind w:left="567"/>
        <w:jc w:val="both"/>
        <w:rPr>
          <w:rFonts w:ascii="Arial" w:hAnsi="Arial" w:cs="Arial"/>
          <w:bCs/>
          <w:sz w:val="20"/>
          <w:szCs w:val="20"/>
        </w:rPr>
      </w:pPr>
    </w:p>
    <w:p w:rsidR="00B80195" w:rsidRDefault="00B80195" w:rsidP="00B80195">
      <w:pPr>
        <w:tabs>
          <w:tab w:val="right" w:pos="9072"/>
        </w:tabs>
        <w:jc w:val="both"/>
        <w:rPr>
          <w:rFonts w:ascii="Arial" w:hAnsi="Arial" w:cs="Arial"/>
          <w:bCs/>
          <w:sz w:val="20"/>
          <w:szCs w:val="20"/>
        </w:rPr>
      </w:pPr>
      <w:r w:rsidRPr="00692A84">
        <w:rPr>
          <w:rFonts w:ascii="Arial" w:hAnsi="Arial" w:cs="Arial"/>
          <w:bCs/>
          <w:sz w:val="20"/>
          <w:szCs w:val="20"/>
        </w:rPr>
        <w:t>Los valores en libros y los valores razonables de los instrumentos financieros presentados en el estado de situación financiera son similares a los valores de mercado.</w:t>
      </w:r>
    </w:p>
    <w:p w:rsidR="008128EC" w:rsidRDefault="008128EC" w:rsidP="008D7017">
      <w:pPr>
        <w:pStyle w:val="Prrafodelista"/>
        <w:widowControl w:val="0"/>
        <w:tabs>
          <w:tab w:val="left" w:pos="567"/>
        </w:tabs>
        <w:spacing w:before="0" w:after="0"/>
        <w:ind w:left="0" w:right="50"/>
        <w:outlineLvl w:val="0"/>
        <w:rPr>
          <w:rFonts w:ascii="Arial" w:hAnsi="Arial" w:cs="Arial"/>
          <w:b/>
          <w:sz w:val="20"/>
          <w:szCs w:val="20"/>
          <w:lang w:val="es-ES"/>
        </w:rPr>
      </w:pPr>
    </w:p>
    <w:p w:rsidR="00395DBA" w:rsidRPr="000D1A16" w:rsidRDefault="00AD2854" w:rsidP="008D7017">
      <w:pPr>
        <w:pStyle w:val="Prrafodelista"/>
        <w:widowControl w:val="0"/>
        <w:tabs>
          <w:tab w:val="left" w:pos="567"/>
        </w:tabs>
        <w:spacing w:before="0" w:after="0"/>
        <w:ind w:left="0" w:right="50"/>
        <w:outlineLvl w:val="0"/>
        <w:rPr>
          <w:rFonts w:ascii="Arial" w:hAnsi="Arial" w:cs="Arial"/>
          <w:b/>
          <w:bCs/>
          <w:sz w:val="20"/>
          <w:szCs w:val="20"/>
        </w:rPr>
      </w:pPr>
      <w:r>
        <w:rPr>
          <w:rFonts w:ascii="Arial" w:hAnsi="Arial" w:cs="Arial"/>
          <w:b/>
          <w:sz w:val="20"/>
          <w:szCs w:val="20"/>
          <w:lang w:val="es-ES"/>
        </w:rPr>
        <w:t>NOTA 5</w:t>
      </w:r>
      <w:r w:rsidR="00395DBA" w:rsidRPr="00B80195">
        <w:rPr>
          <w:rFonts w:ascii="Arial" w:hAnsi="Arial" w:cs="Arial"/>
          <w:b/>
          <w:sz w:val="20"/>
          <w:szCs w:val="20"/>
          <w:lang w:val="es-ES"/>
        </w:rPr>
        <w:t xml:space="preserve"> - </w:t>
      </w:r>
      <w:r w:rsidR="00395DBA" w:rsidRPr="00B80195">
        <w:rPr>
          <w:rFonts w:ascii="Arial" w:hAnsi="Arial" w:cs="Arial"/>
          <w:b/>
          <w:bCs/>
          <w:sz w:val="20"/>
          <w:szCs w:val="20"/>
        </w:rPr>
        <w:t>EFECTIVO Y EQUIVALENTES DE EFECTIVO</w:t>
      </w:r>
      <w:bookmarkEnd w:id="0"/>
      <w:bookmarkEnd w:id="1"/>
      <w:bookmarkEnd w:id="2"/>
    </w:p>
    <w:p w:rsidR="00395DBA" w:rsidRPr="000D1A16" w:rsidRDefault="00395DBA" w:rsidP="008D7017">
      <w:pPr>
        <w:widowControl w:val="0"/>
        <w:tabs>
          <w:tab w:val="left" w:pos="567"/>
        </w:tabs>
        <w:ind w:right="50"/>
        <w:rPr>
          <w:rFonts w:ascii="Arial" w:hAnsi="Arial" w:cs="Arial"/>
          <w:bCs/>
          <w:sz w:val="20"/>
          <w:szCs w:val="20"/>
          <w:lang w:val="es-EC"/>
        </w:rPr>
      </w:pPr>
    </w:p>
    <w:p w:rsidR="004A6B89" w:rsidRPr="000D1A16" w:rsidRDefault="00FF392E" w:rsidP="008D7017">
      <w:pPr>
        <w:tabs>
          <w:tab w:val="left" w:pos="567"/>
        </w:tabs>
        <w:jc w:val="both"/>
        <w:rPr>
          <w:rFonts w:ascii="Arial" w:hAnsi="Arial" w:cs="Arial"/>
          <w:sz w:val="20"/>
          <w:szCs w:val="20"/>
        </w:rPr>
      </w:pPr>
      <w:r w:rsidRPr="000D1A16">
        <w:rPr>
          <w:rFonts w:ascii="Arial" w:hAnsi="Arial" w:cs="Arial"/>
          <w:sz w:val="20"/>
          <w:szCs w:val="20"/>
        </w:rPr>
        <w:t>Al</w:t>
      </w:r>
      <w:r w:rsidR="00704A32" w:rsidRPr="000D1A16">
        <w:rPr>
          <w:rFonts w:ascii="Arial" w:hAnsi="Arial" w:cs="Arial"/>
          <w:sz w:val="20"/>
          <w:szCs w:val="20"/>
        </w:rPr>
        <w:t xml:space="preserve"> </w:t>
      </w:r>
      <w:r w:rsidR="00911D18">
        <w:rPr>
          <w:rFonts w:ascii="Arial" w:hAnsi="Arial" w:cs="Arial"/>
          <w:sz w:val="20"/>
          <w:szCs w:val="20"/>
        </w:rPr>
        <w:t>31 de diciembre del 2021 y 2020</w:t>
      </w:r>
      <w:r w:rsidR="00EE2CE6" w:rsidRPr="000D1A16">
        <w:rPr>
          <w:rFonts w:ascii="Arial" w:hAnsi="Arial" w:cs="Arial"/>
          <w:sz w:val="20"/>
          <w:szCs w:val="20"/>
        </w:rPr>
        <w:t>, l</w:t>
      </w:r>
      <w:r w:rsidR="00993D47" w:rsidRPr="000D1A16">
        <w:rPr>
          <w:rFonts w:ascii="Arial" w:hAnsi="Arial" w:cs="Arial"/>
          <w:sz w:val="20"/>
          <w:szCs w:val="20"/>
        </w:rPr>
        <w:t>a composición del</w:t>
      </w:r>
      <w:r w:rsidR="006119FD">
        <w:rPr>
          <w:rFonts w:ascii="Arial" w:hAnsi="Arial" w:cs="Arial"/>
          <w:sz w:val="20"/>
          <w:szCs w:val="20"/>
        </w:rPr>
        <w:t xml:space="preserve"> efectivo y equivalentes </w:t>
      </w:r>
      <w:r w:rsidR="00C331A4">
        <w:rPr>
          <w:rFonts w:ascii="Arial" w:hAnsi="Arial" w:cs="Arial"/>
          <w:sz w:val="20"/>
          <w:szCs w:val="20"/>
        </w:rPr>
        <w:t xml:space="preserve">de efectivo </w:t>
      </w:r>
      <w:r w:rsidR="00EE2CE6" w:rsidRPr="000D1A16">
        <w:rPr>
          <w:rFonts w:ascii="Arial" w:hAnsi="Arial" w:cs="Arial"/>
          <w:sz w:val="20"/>
          <w:szCs w:val="20"/>
        </w:rPr>
        <w:t>es como sigue:</w:t>
      </w:r>
    </w:p>
    <w:bookmarkStart w:id="5" w:name="_MON_1552469177"/>
    <w:bookmarkEnd w:id="5"/>
    <w:p w:rsidR="002754D4" w:rsidRPr="000D1A16" w:rsidRDefault="00AD2854" w:rsidP="008D7017">
      <w:pPr>
        <w:tabs>
          <w:tab w:val="left" w:pos="567"/>
        </w:tabs>
        <w:jc w:val="both"/>
        <w:rPr>
          <w:rFonts w:ascii="Arial" w:hAnsi="Arial" w:cs="Arial"/>
          <w:sz w:val="20"/>
          <w:szCs w:val="20"/>
        </w:rPr>
      </w:pPr>
      <w:r w:rsidRPr="000D1A16">
        <w:rPr>
          <w:rFonts w:ascii="Arial" w:hAnsi="Arial" w:cs="Arial"/>
          <w:sz w:val="20"/>
          <w:szCs w:val="20"/>
        </w:rPr>
        <w:object w:dxaOrig="6119" w:dyaOrig="15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1pt;height:82.8pt" o:ole="">
            <v:imagedata r:id="rId8" o:title=""/>
          </v:shape>
          <o:OLEObject Type="Embed" ProgID="Excel.Sheet.12" ShapeID="_x0000_i1025" DrawAspect="Content" ObjectID="_1713338922" r:id="rId9"/>
        </w:object>
      </w:r>
    </w:p>
    <w:p w:rsidR="00993D47" w:rsidRPr="00FE6051" w:rsidRDefault="00704A32" w:rsidP="00B80195">
      <w:pPr>
        <w:widowControl w:val="0"/>
        <w:tabs>
          <w:tab w:val="num" w:pos="1134"/>
        </w:tabs>
        <w:overflowPunct w:val="0"/>
        <w:autoSpaceDE w:val="0"/>
        <w:autoSpaceDN w:val="0"/>
        <w:adjustRightInd w:val="0"/>
        <w:ind w:right="18"/>
        <w:jc w:val="both"/>
        <w:textAlignment w:val="baseline"/>
        <w:rPr>
          <w:rFonts w:ascii="Arial" w:hAnsi="Arial" w:cs="Arial"/>
          <w:sz w:val="20"/>
          <w:szCs w:val="20"/>
        </w:rPr>
      </w:pPr>
      <w:r w:rsidRPr="000D1A16">
        <w:rPr>
          <w:rFonts w:ascii="Arial" w:hAnsi="Arial" w:cs="Arial"/>
          <w:sz w:val="20"/>
          <w:szCs w:val="20"/>
        </w:rPr>
        <w:t xml:space="preserve">Al </w:t>
      </w:r>
      <w:r w:rsidR="002B2EF0">
        <w:rPr>
          <w:rFonts w:ascii="Arial" w:hAnsi="Arial" w:cs="Arial"/>
          <w:sz w:val="20"/>
          <w:szCs w:val="20"/>
        </w:rPr>
        <w:t xml:space="preserve">31 </w:t>
      </w:r>
      <w:r w:rsidR="00911D18">
        <w:rPr>
          <w:rFonts w:ascii="Arial" w:hAnsi="Arial" w:cs="Arial"/>
          <w:sz w:val="20"/>
          <w:szCs w:val="20"/>
        </w:rPr>
        <w:t>de diciembre del 2021 y 2020</w:t>
      </w:r>
      <w:r w:rsidR="00993D47" w:rsidRPr="000D1A16">
        <w:rPr>
          <w:rFonts w:ascii="Arial" w:hAnsi="Arial" w:cs="Arial"/>
          <w:sz w:val="20"/>
          <w:szCs w:val="20"/>
        </w:rPr>
        <w:t xml:space="preserve">, corresponde al disponible que la Compañía mantiene en sus cuentas corrientes y ahorros en </w:t>
      </w:r>
      <w:r w:rsidR="002754D4">
        <w:rPr>
          <w:rFonts w:ascii="Arial" w:hAnsi="Arial" w:cs="Arial"/>
          <w:sz w:val="20"/>
          <w:szCs w:val="20"/>
        </w:rPr>
        <w:t>el Banco Pichincha</w:t>
      </w:r>
      <w:r w:rsidR="00703AD7">
        <w:rPr>
          <w:rFonts w:ascii="Arial" w:hAnsi="Arial" w:cs="Arial"/>
          <w:sz w:val="20"/>
          <w:szCs w:val="20"/>
        </w:rPr>
        <w:t xml:space="preserve"> C.A</w:t>
      </w:r>
      <w:r w:rsidR="00911D18">
        <w:rPr>
          <w:rFonts w:ascii="Arial" w:hAnsi="Arial" w:cs="Arial"/>
          <w:sz w:val="20"/>
          <w:szCs w:val="20"/>
        </w:rPr>
        <w:t xml:space="preserve"> </w:t>
      </w:r>
      <w:r w:rsidR="00703AD7">
        <w:rPr>
          <w:rFonts w:ascii="Arial" w:hAnsi="Arial" w:cs="Arial"/>
          <w:sz w:val="20"/>
          <w:szCs w:val="20"/>
        </w:rPr>
        <w:t xml:space="preserve">que tiene </w:t>
      </w:r>
      <w:r w:rsidR="00993D47" w:rsidRPr="000D1A16">
        <w:rPr>
          <w:rFonts w:ascii="Arial" w:hAnsi="Arial" w:cs="Arial"/>
          <w:sz w:val="20"/>
          <w:szCs w:val="20"/>
        </w:rPr>
        <w:t xml:space="preserve">calificación </w:t>
      </w:r>
      <w:r w:rsidR="00703AD7">
        <w:rPr>
          <w:rFonts w:ascii="Arial" w:hAnsi="Arial" w:cs="Arial"/>
          <w:sz w:val="20"/>
          <w:szCs w:val="20"/>
        </w:rPr>
        <w:t>AAA-</w:t>
      </w:r>
      <w:r w:rsidR="00993D47" w:rsidRPr="000D1A16">
        <w:rPr>
          <w:rFonts w:ascii="Arial" w:hAnsi="Arial" w:cs="Arial"/>
          <w:sz w:val="20"/>
          <w:szCs w:val="20"/>
        </w:rPr>
        <w:t xml:space="preserve"> de acuerdo a las publicaciones requeridas por la Superint</w:t>
      </w:r>
      <w:r w:rsidR="002754D4">
        <w:rPr>
          <w:rFonts w:ascii="Arial" w:hAnsi="Arial" w:cs="Arial"/>
          <w:sz w:val="20"/>
          <w:szCs w:val="20"/>
        </w:rPr>
        <w:t>endencia de Bancos.</w:t>
      </w:r>
    </w:p>
    <w:p w:rsidR="00FE6051" w:rsidRPr="000D1A16" w:rsidRDefault="00FE6051" w:rsidP="00FE6051">
      <w:pPr>
        <w:tabs>
          <w:tab w:val="left" w:pos="567"/>
        </w:tabs>
        <w:jc w:val="both"/>
        <w:rPr>
          <w:rFonts w:ascii="Arial" w:hAnsi="Arial" w:cs="Arial"/>
          <w:w w:val="104"/>
          <w:sz w:val="20"/>
          <w:szCs w:val="20"/>
        </w:rPr>
      </w:pPr>
    </w:p>
    <w:p w:rsidR="00FE6051" w:rsidRDefault="00C56A75" w:rsidP="00FE6051">
      <w:pPr>
        <w:rPr>
          <w:rFonts w:ascii="Arial" w:hAnsi="Arial" w:cs="Arial"/>
          <w:b/>
          <w:bCs/>
          <w:sz w:val="20"/>
          <w:szCs w:val="20"/>
        </w:rPr>
      </w:pPr>
      <w:r>
        <w:rPr>
          <w:rFonts w:ascii="Arial" w:hAnsi="Arial" w:cs="Arial"/>
          <w:b/>
          <w:bCs/>
          <w:sz w:val="20"/>
          <w:szCs w:val="20"/>
        </w:rPr>
        <w:t>NOTA 6</w:t>
      </w:r>
      <w:r w:rsidR="00FE6051" w:rsidRPr="00B80195">
        <w:rPr>
          <w:rFonts w:ascii="Arial" w:hAnsi="Arial" w:cs="Arial"/>
          <w:b/>
          <w:bCs/>
          <w:sz w:val="20"/>
          <w:szCs w:val="20"/>
        </w:rPr>
        <w:t xml:space="preserve"> – CUENTAS POR COBRAR – COMERCIALES</w:t>
      </w:r>
    </w:p>
    <w:p w:rsidR="00FE6051" w:rsidRDefault="00FE6051" w:rsidP="00FE6051">
      <w:pPr>
        <w:rPr>
          <w:rFonts w:ascii="Arial" w:hAnsi="Arial" w:cs="Arial"/>
          <w:b/>
          <w:bCs/>
          <w:sz w:val="20"/>
          <w:szCs w:val="20"/>
        </w:rPr>
      </w:pPr>
    </w:p>
    <w:p w:rsidR="00FE6051" w:rsidRDefault="00FE6051" w:rsidP="00FE6051">
      <w:pPr>
        <w:rPr>
          <w:rFonts w:ascii="Arial" w:hAnsi="Arial" w:cs="Arial"/>
          <w:bCs/>
          <w:sz w:val="20"/>
          <w:szCs w:val="20"/>
        </w:rPr>
      </w:pPr>
      <w:r w:rsidRPr="00FE6051">
        <w:rPr>
          <w:rFonts w:ascii="Arial" w:hAnsi="Arial" w:cs="Arial"/>
          <w:bCs/>
          <w:sz w:val="20"/>
          <w:szCs w:val="20"/>
        </w:rPr>
        <w:t>El saldo de las cuentas por cobrar</w:t>
      </w:r>
      <w:r w:rsidR="00B80195">
        <w:rPr>
          <w:rFonts w:ascii="Arial" w:hAnsi="Arial" w:cs="Arial"/>
          <w:bCs/>
          <w:sz w:val="20"/>
          <w:szCs w:val="20"/>
        </w:rPr>
        <w:t xml:space="preserve"> comerciales</w:t>
      </w:r>
      <w:r w:rsidR="00911D18">
        <w:rPr>
          <w:rFonts w:ascii="Arial" w:hAnsi="Arial" w:cs="Arial"/>
          <w:bCs/>
          <w:sz w:val="20"/>
          <w:szCs w:val="20"/>
        </w:rPr>
        <w:t xml:space="preserve"> al 31 de diciembre del 2021 y 2020</w:t>
      </w:r>
      <w:r w:rsidRPr="00FE6051">
        <w:rPr>
          <w:rFonts w:ascii="Arial" w:hAnsi="Arial" w:cs="Arial"/>
          <w:bCs/>
          <w:sz w:val="20"/>
          <w:szCs w:val="20"/>
        </w:rPr>
        <w:t xml:space="preserve"> son como sigue:</w:t>
      </w:r>
    </w:p>
    <w:p w:rsidR="00FE6051" w:rsidRDefault="00FE6051" w:rsidP="00FE6051">
      <w:pPr>
        <w:rPr>
          <w:rFonts w:ascii="Arial" w:hAnsi="Arial" w:cs="Arial"/>
          <w:bCs/>
          <w:sz w:val="20"/>
          <w:szCs w:val="20"/>
        </w:rPr>
      </w:pPr>
    </w:p>
    <w:bookmarkStart w:id="6" w:name="_MON_1616944438"/>
    <w:bookmarkEnd w:id="6"/>
    <w:p w:rsidR="00FE6051" w:rsidRPr="00FE6051" w:rsidRDefault="00C56A75" w:rsidP="00FE6051">
      <w:pPr>
        <w:rPr>
          <w:rFonts w:ascii="Arial" w:hAnsi="Arial" w:cs="Arial"/>
          <w:bCs/>
          <w:sz w:val="20"/>
          <w:szCs w:val="20"/>
        </w:rPr>
      </w:pPr>
      <w:r>
        <w:rPr>
          <w:rFonts w:ascii="Arial" w:hAnsi="Arial" w:cs="Arial"/>
          <w:bCs/>
          <w:sz w:val="20"/>
          <w:szCs w:val="20"/>
        </w:rPr>
        <w:object w:dxaOrig="5880" w:dyaOrig="2748">
          <v:shape id="_x0000_i1026" type="#_x0000_t75" style="width:293.4pt;height:136.2pt" o:ole="">
            <v:imagedata r:id="rId10" o:title=""/>
          </v:shape>
          <o:OLEObject Type="Embed" ProgID="Excel.Sheet.12" ShapeID="_x0000_i1026" DrawAspect="Content" ObjectID="_1713338923" r:id="rId11"/>
        </w:object>
      </w:r>
    </w:p>
    <w:p w:rsidR="00B80195" w:rsidRDefault="00B80195" w:rsidP="00FE6051">
      <w:pPr>
        <w:rPr>
          <w:rFonts w:ascii="Arial" w:hAnsi="Arial" w:cs="Arial"/>
          <w:b/>
          <w:bCs/>
          <w:sz w:val="20"/>
          <w:szCs w:val="20"/>
        </w:rPr>
      </w:pPr>
    </w:p>
    <w:p w:rsidR="00395DBA" w:rsidRPr="000D1A16" w:rsidRDefault="00C56A75" w:rsidP="008D7017">
      <w:pPr>
        <w:rPr>
          <w:rFonts w:ascii="Arial" w:hAnsi="Arial" w:cs="Arial"/>
          <w:b/>
          <w:bCs/>
          <w:sz w:val="20"/>
          <w:szCs w:val="20"/>
        </w:rPr>
      </w:pPr>
      <w:bookmarkStart w:id="7" w:name="_MON_1580288208"/>
      <w:bookmarkStart w:id="8" w:name="_MON_1457287105"/>
      <w:bookmarkStart w:id="9" w:name="_MON_1457287207"/>
      <w:bookmarkStart w:id="10" w:name="_MON_1457287224"/>
      <w:bookmarkStart w:id="11" w:name="_MON_1329680428"/>
      <w:bookmarkStart w:id="12" w:name="_MON_1329725875"/>
      <w:bookmarkStart w:id="13" w:name="_MON_1551009693"/>
      <w:bookmarkStart w:id="14" w:name="_MON_1391533142"/>
      <w:bookmarkStart w:id="15" w:name="_MON_1456774516"/>
      <w:bookmarkEnd w:id="7"/>
      <w:bookmarkEnd w:id="8"/>
      <w:bookmarkEnd w:id="9"/>
      <w:bookmarkEnd w:id="10"/>
      <w:bookmarkEnd w:id="11"/>
      <w:bookmarkEnd w:id="12"/>
      <w:bookmarkEnd w:id="13"/>
      <w:bookmarkEnd w:id="14"/>
      <w:bookmarkEnd w:id="15"/>
      <w:r>
        <w:rPr>
          <w:rFonts w:ascii="Arial" w:hAnsi="Arial" w:cs="Arial"/>
          <w:b/>
          <w:bCs/>
          <w:sz w:val="20"/>
          <w:szCs w:val="20"/>
        </w:rPr>
        <w:t>NOTA 7</w:t>
      </w:r>
      <w:r w:rsidR="00395DBA" w:rsidRPr="002857A4">
        <w:rPr>
          <w:rFonts w:ascii="Arial" w:hAnsi="Arial" w:cs="Arial"/>
          <w:b/>
          <w:bCs/>
          <w:sz w:val="20"/>
          <w:szCs w:val="20"/>
        </w:rPr>
        <w:t xml:space="preserve"> – </w:t>
      </w:r>
      <w:r w:rsidR="002857A4">
        <w:rPr>
          <w:rFonts w:ascii="Arial" w:hAnsi="Arial" w:cs="Arial"/>
          <w:b/>
          <w:bCs/>
          <w:sz w:val="20"/>
          <w:szCs w:val="20"/>
        </w:rPr>
        <w:t>PROPIEDADES, MUEBLES Y EQUIPOS</w:t>
      </w:r>
    </w:p>
    <w:p w:rsidR="00014DAB" w:rsidRPr="000D1A16" w:rsidRDefault="00014DAB" w:rsidP="008D7017">
      <w:pPr>
        <w:rPr>
          <w:rFonts w:ascii="Arial" w:hAnsi="Arial" w:cs="Arial"/>
          <w:sz w:val="20"/>
          <w:szCs w:val="20"/>
          <w:highlight w:val="yellow"/>
        </w:rPr>
      </w:pPr>
    </w:p>
    <w:p w:rsidR="00395DBA" w:rsidRPr="000D1A16" w:rsidRDefault="00395DBA" w:rsidP="00DF6558">
      <w:pPr>
        <w:jc w:val="both"/>
        <w:rPr>
          <w:rFonts w:ascii="Arial" w:hAnsi="Arial" w:cs="Arial"/>
          <w:sz w:val="20"/>
          <w:szCs w:val="20"/>
        </w:rPr>
      </w:pPr>
      <w:r w:rsidRPr="000D1A16">
        <w:rPr>
          <w:rFonts w:ascii="Arial" w:hAnsi="Arial" w:cs="Arial"/>
          <w:iCs/>
          <w:sz w:val="20"/>
          <w:szCs w:val="20"/>
        </w:rPr>
        <w:t>Los s</w:t>
      </w:r>
      <w:r w:rsidR="00DF6558" w:rsidRPr="000D1A16">
        <w:rPr>
          <w:rFonts w:ascii="Arial" w:hAnsi="Arial" w:cs="Arial"/>
          <w:iCs/>
          <w:sz w:val="20"/>
          <w:szCs w:val="20"/>
        </w:rPr>
        <w:t xml:space="preserve">aldos al </w:t>
      </w:r>
      <w:r w:rsidR="006D45BC">
        <w:rPr>
          <w:rFonts w:ascii="Arial" w:hAnsi="Arial" w:cs="Arial"/>
          <w:iCs/>
          <w:sz w:val="20"/>
          <w:szCs w:val="20"/>
        </w:rPr>
        <w:t>31 de diciembre del 2021 y 2020</w:t>
      </w:r>
      <w:r w:rsidR="00AF6817" w:rsidRPr="000D1A16">
        <w:rPr>
          <w:rFonts w:ascii="Arial" w:hAnsi="Arial" w:cs="Arial"/>
          <w:iCs/>
          <w:sz w:val="20"/>
          <w:szCs w:val="20"/>
        </w:rPr>
        <w:t xml:space="preserve"> de la</w:t>
      </w:r>
      <w:r w:rsidR="00E756C4">
        <w:rPr>
          <w:rFonts w:ascii="Arial" w:hAnsi="Arial" w:cs="Arial"/>
          <w:iCs/>
          <w:sz w:val="20"/>
          <w:szCs w:val="20"/>
        </w:rPr>
        <w:t>s</w:t>
      </w:r>
      <w:r w:rsidR="00AF6817" w:rsidRPr="000D1A16">
        <w:rPr>
          <w:rFonts w:ascii="Arial" w:hAnsi="Arial" w:cs="Arial"/>
          <w:iCs/>
          <w:sz w:val="20"/>
          <w:szCs w:val="20"/>
        </w:rPr>
        <w:t xml:space="preserve"> </w:t>
      </w:r>
      <w:r w:rsidR="00556BFA" w:rsidRPr="000D1A16">
        <w:rPr>
          <w:rFonts w:ascii="Arial" w:hAnsi="Arial" w:cs="Arial"/>
          <w:sz w:val="20"/>
        </w:rPr>
        <w:t>propiedad</w:t>
      </w:r>
      <w:r w:rsidR="00E756C4">
        <w:rPr>
          <w:rFonts w:ascii="Arial" w:hAnsi="Arial" w:cs="Arial"/>
          <w:sz w:val="20"/>
        </w:rPr>
        <w:t>es</w:t>
      </w:r>
      <w:r w:rsidR="00556BFA" w:rsidRPr="000D1A16">
        <w:rPr>
          <w:rFonts w:ascii="Arial" w:hAnsi="Arial" w:cs="Arial"/>
          <w:sz w:val="20"/>
        </w:rPr>
        <w:t xml:space="preserve">, </w:t>
      </w:r>
      <w:r w:rsidR="002857A4">
        <w:rPr>
          <w:rFonts w:ascii="Arial" w:hAnsi="Arial" w:cs="Arial"/>
          <w:sz w:val="20"/>
        </w:rPr>
        <w:t xml:space="preserve">muebles y </w:t>
      </w:r>
      <w:r w:rsidR="00556BFA" w:rsidRPr="000D1A16">
        <w:rPr>
          <w:rFonts w:ascii="Arial" w:hAnsi="Arial" w:cs="Arial"/>
          <w:sz w:val="20"/>
        </w:rPr>
        <w:t xml:space="preserve">equipos </w:t>
      </w:r>
      <w:r w:rsidRPr="000D1A16">
        <w:rPr>
          <w:rFonts w:ascii="Arial" w:hAnsi="Arial" w:cs="Arial"/>
          <w:sz w:val="20"/>
          <w:szCs w:val="20"/>
        </w:rPr>
        <w:t>de la Compañía, son como sigue:</w:t>
      </w:r>
      <w:bookmarkStart w:id="16" w:name="_MON_1391287863"/>
      <w:bookmarkStart w:id="17" w:name="_MON_1391287883"/>
      <w:bookmarkStart w:id="18" w:name="_MON_1391287895"/>
      <w:bookmarkStart w:id="19" w:name="_MON_1391464235"/>
      <w:bookmarkStart w:id="20" w:name="_MON_1391464267"/>
      <w:bookmarkStart w:id="21" w:name="_MON_1391464351"/>
      <w:bookmarkStart w:id="22" w:name="_MON_1391850562"/>
      <w:bookmarkStart w:id="23" w:name="_MON_1391861702"/>
      <w:bookmarkStart w:id="24" w:name="_MON_1391861819"/>
      <w:bookmarkStart w:id="25" w:name="_MON_1391862389"/>
      <w:bookmarkStart w:id="26" w:name="_MON_1391862417"/>
      <w:bookmarkStart w:id="27" w:name="_MON_1391862455"/>
      <w:bookmarkStart w:id="28" w:name="_MON_1391862591"/>
      <w:bookmarkStart w:id="29" w:name="_MON_1456775800"/>
      <w:bookmarkStart w:id="30" w:name="_MON_1456775886"/>
      <w:bookmarkStart w:id="31" w:name="_MON_1457253610"/>
      <w:bookmarkStart w:id="32" w:name="_MON_1457259068"/>
      <w:bookmarkStart w:id="33" w:name="_MON_1457288043"/>
      <w:bookmarkStart w:id="34" w:name="_MON_1457288194"/>
      <w:bookmarkStart w:id="35" w:name="_MON_1457288248"/>
      <w:bookmarkStart w:id="36" w:name="_MON_1361777025"/>
      <w:bookmarkStart w:id="37" w:name="_MON_1361797670"/>
      <w:bookmarkStart w:id="38" w:name="_MON_1361956701"/>
      <w:bookmarkStart w:id="39" w:name="_MON_1361963688"/>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rsidR="00AC1316" w:rsidRPr="000D1A16" w:rsidRDefault="00AC1316" w:rsidP="00DF6558">
      <w:pPr>
        <w:jc w:val="both"/>
        <w:rPr>
          <w:rFonts w:ascii="Arial" w:hAnsi="Arial" w:cs="Arial"/>
          <w:sz w:val="20"/>
          <w:szCs w:val="20"/>
        </w:rPr>
      </w:pPr>
    </w:p>
    <w:bookmarkStart w:id="40" w:name="_MON_1617040152"/>
    <w:bookmarkEnd w:id="40"/>
    <w:p w:rsidR="00DA5700" w:rsidRDefault="00C56A75" w:rsidP="00DA5700">
      <w:pPr>
        <w:pStyle w:val="Textoindependiente"/>
        <w:tabs>
          <w:tab w:val="right" w:pos="9072"/>
        </w:tabs>
        <w:jc w:val="left"/>
        <w:rPr>
          <w:rFonts w:ascii="Arial" w:hAnsi="Arial" w:cs="Arial"/>
          <w:iCs/>
          <w:sz w:val="20"/>
        </w:rPr>
      </w:pPr>
      <w:r>
        <w:rPr>
          <w:rFonts w:ascii="Arial" w:hAnsi="Arial" w:cs="Arial"/>
          <w:iCs/>
          <w:sz w:val="20"/>
        </w:rPr>
        <w:object w:dxaOrig="14770" w:dyaOrig="6414">
          <v:shape id="_x0000_i1027" type="#_x0000_t75" style="width:454.2pt;height:244.8pt" o:ole="">
            <v:imagedata r:id="rId12" o:title=""/>
          </v:shape>
          <o:OLEObject Type="Embed" ProgID="Excel.Sheet.12" ShapeID="_x0000_i1027" DrawAspect="Content" ObjectID="_1713338924" r:id="rId13"/>
        </w:object>
      </w:r>
    </w:p>
    <w:p w:rsidR="00557D58" w:rsidRPr="00963E92" w:rsidRDefault="00557D58" w:rsidP="00FB166E">
      <w:pPr>
        <w:rPr>
          <w:rFonts w:ascii="Arial" w:hAnsi="Arial" w:cs="Arial"/>
          <w:b/>
          <w:sz w:val="20"/>
          <w:highlight w:val="magenta"/>
        </w:rPr>
      </w:pPr>
      <w:r w:rsidRPr="00EF4470">
        <w:rPr>
          <w:rFonts w:ascii="Arial" w:hAnsi="Arial" w:cs="Arial"/>
          <w:b/>
          <w:sz w:val="20"/>
        </w:rPr>
        <w:t xml:space="preserve">NOTA </w:t>
      </w:r>
      <w:r w:rsidR="000859E6">
        <w:rPr>
          <w:rFonts w:ascii="Arial" w:hAnsi="Arial" w:cs="Arial"/>
          <w:b/>
          <w:sz w:val="20"/>
        </w:rPr>
        <w:t>8</w:t>
      </w:r>
      <w:r w:rsidRPr="00EF4470">
        <w:rPr>
          <w:rFonts w:ascii="Arial" w:hAnsi="Arial" w:cs="Arial"/>
          <w:b/>
          <w:sz w:val="20"/>
        </w:rPr>
        <w:t xml:space="preserve"> – CUENTAS POR PAGAR – PROVEEDORES</w:t>
      </w:r>
      <w:r w:rsidR="00EF4470">
        <w:rPr>
          <w:rFonts w:ascii="Arial" w:hAnsi="Arial" w:cs="Arial"/>
          <w:b/>
          <w:sz w:val="20"/>
        </w:rPr>
        <w:t xml:space="preserve"> Y OTRAS</w:t>
      </w:r>
    </w:p>
    <w:p w:rsidR="00557D58" w:rsidRDefault="00557D58" w:rsidP="00FB166E">
      <w:pPr>
        <w:rPr>
          <w:rFonts w:ascii="Arial" w:hAnsi="Arial" w:cs="Arial"/>
          <w:b/>
          <w:sz w:val="20"/>
        </w:rPr>
      </w:pPr>
    </w:p>
    <w:p w:rsidR="00557D58" w:rsidRPr="000D1A16" w:rsidRDefault="00557D58" w:rsidP="00557D58">
      <w:pPr>
        <w:pStyle w:val="Textoindependiente"/>
        <w:rPr>
          <w:rFonts w:ascii="Arial" w:hAnsi="Arial" w:cs="Arial"/>
          <w:iCs/>
          <w:sz w:val="20"/>
        </w:rPr>
      </w:pPr>
      <w:r w:rsidRPr="000D1A16">
        <w:rPr>
          <w:rFonts w:ascii="Arial" w:hAnsi="Arial" w:cs="Arial"/>
          <w:iCs/>
          <w:sz w:val="20"/>
        </w:rPr>
        <w:t>Los saldos al 31 de di</w:t>
      </w:r>
      <w:r w:rsidR="0057169A">
        <w:rPr>
          <w:rFonts w:ascii="Arial" w:hAnsi="Arial" w:cs="Arial"/>
          <w:iCs/>
          <w:sz w:val="20"/>
        </w:rPr>
        <w:t>ciembre del 2021 y 2020</w:t>
      </w:r>
      <w:r w:rsidRPr="000D1A16">
        <w:rPr>
          <w:rFonts w:ascii="Arial" w:hAnsi="Arial" w:cs="Arial"/>
          <w:iCs/>
          <w:sz w:val="20"/>
        </w:rPr>
        <w:t xml:space="preserve"> </w:t>
      </w:r>
      <w:r>
        <w:rPr>
          <w:rFonts w:ascii="Arial" w:hAnsi="Arial" w:cs="Arial"/>
          <w:iCs/>
          <w:sz w:val="20"/>
        </w:rPr>
        <w:t xml:space="preserve">de las cuentas por pagar – proveedores </w:t>
      </w:r>
      <w:r w:rsidRPr="000D1A16">
        <w:rPr>
          <w:rFonts w:ascii="Arial" w:hAnsi="Arial" w:cs="Arial"/>
          <w:iCs/>
          <w:sz w:val="20"/>
        </w:rPr>
        <w:t>son como sigue:</w:t>
      </w:r>
    </w:p>
    <w:p w:rsidR="00557D58" w:rsidRDefault="00557D58" w:rsidP="00FB166E">
      <w:pPr>
        <w:rPr>
          <w:rFonts w:ascii="Arial" w:hAnsi="Arial" w:cs="Arial"/>
          <w:b/>
          <w:sz w:val="20"/>
        </w:rPr>
      </w:pPr>
    </w:p>
    <w:bookmarkStart w:id="41" w:name="_MON_1616945880"/>
    <w:bookmarkEnd w:id="41"/>
    <w:p w:rsidR="00557D58" w:rsidRDefault="000859E6" w:rsidP="00FB166E">
      <w:pPr>
        <w:rPr>
          <w:rFonts w:ascii="Arial" w:hAnsi="Arial" w:cs="Arial"/>
          <w:b/>
          <w:sz w:val="20"/>
        </w:rPr>
      </w:pPr>
      <w:r>
        <w:rPr>
          <w:rFonts w:ascii="Arial" w:hAnsi="Arial" w:cs="Arial"/>
          <w:b/>
          <w:sz w:val="20"/>
        </w:rPr>
        <w:object w:dxaOrig="6025" w:dyaOrig="2014">
          <v:shape id="_x0000_i1028" type="#_x0000_t75" style="width:301.2pt;height:109.8pt" o:ole="">
            <v:imagedata r:id="rId14" o:title=""/>
          </v:shape>
          <o:OLEObject Type="Embed" ProgID="Excel.Sheet.12" ShapeID="_x0000_i1028" DrawAspect="Content" ObjectID="_1713338925" r:id="rId15"/>
        </w:object>
      </w:r>
    </w:p>
    <w:p w:rsidR="00963E92" w:rsidRDefault="00557D58" w:rsidP="00161D0E">
      <w:pPr>
        <w:pStyle w:val="Prrafodelista"/>
        <w:numPr>
          <w:ilvl w:val="0"/>
          <w:numId w:val="17"/>
        </w:numPr>
        <w:ind w:left="426" w:hanging="426"/>
        <w:rPr>
          <w:rFonts w:ascii="Arial" w:hAnsi="Arial" w:cs="Arial"/>
          <w:sz w:val="20"/>
        </w:rPr>
      </w:pPr>
      <w:r w:rsidRPr="00963E92">
        <w:rPr>
          <w:rFonts w:ascii="Arial" w:hAnsi="Arial" w:cs="Arial"/>
          <w:sz w:val="20"/>
        </w:rPr>
        <w:t>Corresponde a las compras locales de inventario de</w:t>
      </w:r>
      <w:r w:rsidR="000859E6">
        <w:rPr>
          <w:rFonts w:ascii="Arial" w:hAnsi="Arial" w:cs="Arial"/>
          <w:sz w:val="20"/>
        </w:rPr>
        <w:t xml:space="preserve"> equipos de operación de prestación de servicios de seguridad y vigilancia</w:t>
      </w:r>
      <w:r w:rsidR="005110AA">
        <w:rPr>
          <w:rFonts w:ascii="Arial" w:hAnsi="Arial" w:cs="Arial"/>
          <w:sz w:val="20"/>
        </w:rPr>
        <w:t xml:space="preserve">, y </w:t>
      </w:r>
      <w:r w:rsidR="00AA3E3B">
        <w:rPr>
          <w:rFonts w:ascii="Arial" w:hAnsi="Arial" w:cs="Arial"/>
          <w:sz w:val="20"/>
        </w:rPr>
        <w:t>corresponde a su</w:t>
      </w:r>
      <w:r w:rsidR="000859E6">
        <w:rPr>
          <w:rFonts w:ascii="Arial" w:hAnsi="Arial" w:cs="Arial"/>
          <w:sz w:val="20"/>
        </w:rPr>
        <w:t xml:space="preserve"> principal proveedor</w:t>
      </w:r>
      <w:r w:rsidRPr="00963E92">
        <w:rPr>
          <w:rFonts w:ascii="Arial" w:hAnsi="Arial" w:cs="Arial"/>
          <w:sz w:val="20"/>
        </w:rPr>
        <w:t xml:space="preserve"> </w:t>
      </w:r>
      <w:proofErr w:type="spellStart"/>
      <w:r w:rsidR="000859E6">
        <w:rPr>
          <w:rFonts w:ascii="Arial" w:hAnsi="Arial" w:cs="Arial"/>
          <w:sz w:val="20"/>
        </w:rPr>
        <w:t>Alarm</w:t>
      </w:r>
      <w:proofErr w:type="spellEnd"/>
      <w:r w:rsidR="000859E6">
        <w:rPr>
          <w:rFonts w:ascii="Arial" w:hAnsi="Arial" w:cs="Arial"/>
          <w:sz w:val="20"/>
        </w:rPr>
        <w:t xml:space="preserve"> </w:t>
      </w:r>
      <w:proofErr w:type="spellStart"/>
      <w:r w:rsidR="000859E6">
        <w:rPr>
          <w:rFonts w:ascii="Arial" w:hAnsi="Arial" w:cs="Arial"/>
          <w:sz w:val="20"/>
        </w:rPr>
        <w:t>Systems</w:t>
      </w:r>
      <w:proofErr w:type="spellEnd"/>
      <w:r w:rsidR="000859E6">
        <w:rPr>
          <w:rFonts w:ascii="Arial" w:hAnsi="Arial" w:cs="Arial"/>
          <w:sz w:val="20"/>
        </w:rPr>
        <w:t xml:space="preserve"> Ecuador S.A.</w:t>
      </w:r>
    </w:p>
    <w:p w:rsidR="00963E92" w:rsidRDefault="00963E92" w:rsidP="005110AA">
      <w:pPr>
        <w:pStyle w:val="Prrafodelista"/>
        <w:ind w:left="426" w:hanging="426"/>
        <w:rPr>
          <w:rFonts w:ascii="Arial" w:hAnsi="Arial" w:cs="Arial"/>
          <w:sz w:val="20"/>
        </w:rPr>
      </w:pPr>
    </w:p>
    <w:p w:rsidR="00615350" w:rsidRPr="001D1EF7" w:rsidRDefault="00557D58" w:rsidP="00161D0E">
      <w:pPr>
        <w:pStyle w:val="Prrafodelista"/>
        <w:numPr>
          <w:ilvl w:val="0"/>
          <w:numId w:val="17"/>
        </w:numPr>
        <w:spacing w:before="0" w:after="0"/>
        <w:ind w:left="426" w:hanging="426"/>
        <w:rPr>
          <w:rFonts w:ascii="Arial" w:hAnsi="Arial" w:cs="Arial"/>
          <w:sz w:val="20"/>
        </w:rPr>
      </w:pPr>
      <w:r w:rsidRPr="00963E92">
        <w:rPr>
          <w:rFonts w:ascii="Arial" w:hAnsi="Arial" w:cs="Arial"/>
          <w:sz w:val="20"/>
        </w:rPr>
        <w:t xml:space="preserve">Corresponde a los servicios contratados </w:t>
      </w:r>
      <w:r w:rsidR="000859E6">
        <w:rPr>
          <w:rFonts w:ascii="Arial" w:hAnsi="Arial" w:cs="Arial"/>
          <w:sz w:val="20"/>
        </w:rPr>
        <w:t>para la prestación de servicios de seguridad y vigilancia</w:t>
      </w:r>
      <w:r w:rsidRPr="00963E92">
        <w:rPr>
          <w:rFonts w:ascii="Arial" w:hAnsi="Arial" w:cs="Arial"/>
          <w:sz w:val="20"/>
        </w:rPr>
        <w:t>; los principales proveedores son:</w:t>
      </w:r>
      <w:r w:rsidR="00963E92">
        <w:rPr>
          <w:rFonts w:ascii="Arial" w:hAnsi="Arial" w:cs="Arial"/>
          <w:sz w:val="20"/>
        </w:rPr>
        <w:t xml:space="preserve"> </w:t>
      </w:r>
      <w:proofErr w:type="spellStart"/>
      <w:r w:rsidR="000859E6">
        <w:rPr>
          <w:rFonts w:ascii="Arial" w:hAnsi="Arial" w:cs="Arial"/>
          <w:sz w:val="20"/>
        </w:rPr>
        <w:t>Sweaden</w:t>
      </w:r>
      <w:proofErr w:type="spellEnd"/>
      <w:r w:rsidR="000859E6">
        <w:rPr>
          <w:rFonts w:ascii="Arial" w:hAnsi="Arial" w:cs="Arial"/>
          <w:sz w:val="20"/>
        </w:rPr>
        <w:t xml:space="preserve"> Seguros</w:t>
      </w:r>
      <w:r w:rsidR="005110AA">
        <w:rPr>
          <w:rFonts w:ascii="Arial" w:hAnsi="Arial" w:cs="Arial"/>
          <w:sz w:val="20"/>
        </w:rPr>
        <w:t xml:space="preserve"> por concepto de </w:t>
      </w:r>
      <w:r w:rsidR="000859E6">
        <w:rPr>
          <w:rFonts w:ascii="Arial" w:hAnsi="Arial" w:cs="Arial"/>
          <w:sz w:val="20"/>
        </w:rPr>
        <w:t xml:space="preserve">seguros </w:t>
      </w:r>
      <w:proofErr w:type="spellStart"/>
      <w:r w:rsidR="000859E6">
        <w:rPr>
          <w:rFonts w:ascii="Arial" w:hAnsi="Arial" w:cs="Arial"/>
          <w:sz w:val="20"/>
        </w:rPr>
        <w:t>prepagados</w:t>
      </w:r>
      <w:proofErr w:type="spellEnd"/>
      <w:r w:rsidR="005110AA">
        <w:rPr>
          <w:rFonts w:ascii="Arial" w:hAnsi="Arial" w:cs="Arial"/>
          <w:sz w:val="20"/>
        </w:rPr>
        <w:t xml:space="preserve"> y </w:t>
      </w:r>
      <w:r w:rsidR="000859E6">
        <w:rPr>
          <w:rFonts w:ascii="Arial" w:hAnsi="Arial" w:cs="Arial"/>
          <w:sz w:val="20"/>
        </w:rPr>
        <w:t xml:space="preserve">Julio </w:t>
      </w:r>
      <w:proofErr w:type="spellStart"/>
      <w:r w:rsidR="000859E6">
        <w:rPr>
          <w:rFonts w:ascii="Arial" w:hAnsi="Arial" w:cs="Arial"/>
          <w:sz w:val="20"/>
        </w:rPr>
        <w:t>Villacís</w:t>
      </w:r>
      <w:proofErr w:type="spellEnd"/>
      <w:r w:rsidR="000859E6">
        <w:rPr>
          <w:rFonts w:ascii="Arial" w:hAnsi="Arial" w:cs="Arial"/>
          <w:sz w:val="20"/>
        </w:rPr>
        <w:t xml:space="preserve"> por servicios técnicos</w:t>
      </w:r>
    </w:p>
    <w:p w:rsidR="001D1EF7" w:rsidRDefault="001D1EF7" w:rsidP="001D1EF7">
      <w:pPr>
        <w:jc w:val="both"/>
        <w:rPr>
          <w:rFonts w:ascii="Arial" w:hAnsi="Arial" w:cs="Arial"/>
          <w:b/>
          <w:bCs/>
          <w:sz w:val="20"/>
          <w:szCs w:val="20"/>
        </w:rPr>
      </w:pPr>
    </w:p>
    <w:p w:rsidR="008D51B5" w:rsidRPr="000D1A16" w:rsidRDefault="005110AA" w:rsidP="001D1EF7">
      <w:pPr>
        <w:jc w:val="both"/>
        <w:rPr>
          <w:rFonts w:ascii="Arial" w:hAnsi="Arial" w:cs="Arial"/>
          <w:sz w:val="20"/>
          <w:szCs w:val="20"/>
        </w:rPr>
      </w:pPr>
      <w:r w:rsidRPr="005110AA">
        <w:rPr>
          <w:rFonts w:ascii="Arial" w:hAnsi="Arial" w:cs="Arial"/>
          <w:b/>
          <w:bCs/>
          <w:sz w:val="20"/>
          <w:szCs w:val="20"/>
        </w:rPr>
        <w:t>N</w:t>
      </w:r>
      <w:r w:rsidR="000859E6">
        <w:rPr>
          <w:rFonts w:ascii="Arial" w:hAnsi="Arial" w:cs="Arial"/>
          <w:b/>
          <w:bCs/>
          <w:sz w:val="20"/>
          <w:szCs w:val="20"/>
        </w:rPr>
        <w:t>OTA 9</w:t>
      </w:r>
      <w:r w:rsidR="008D51B5" w:rsidRPr="005110AA">
        <w:rPr>
          <w:rFonts w:ascii="Arial" w:hAnsi="Arial" w:cs="Arial"/>
          <w:b/>
          <w:bCs/>
          <w:sz w:val="20"/>
          <w:szCs w:val="20"/>
        </w:rPr>
        <w:t xml:space="preserve"> – </w:t>
      </w:r>
      <w:r>
        <w:rPr>
          <w:rFonts w:ascii="Arial" w:hAnsi="Arial" w:cs="Arial"/>
          <w:b/>
          <w:bCs/>
          <w:sz w:val="20"/>
          <w:szCs w:val="20"/>
        </w:rPr>
        <w:t>PASIVOS LABORALES</w:t>
      </w:r>
    </w:p>
    <w:p w:rsidR="008D51B5" w:rsidRPr="000D1A16" w:rsidRDefault="008D51B5" w:rsidP="008D7017">
      <w:pPr>
        <w:jc w:val="both"/>
        <w:rPr>
          <w:rFonts w:ascii="Arial" w:hAnsi="Arial" w:cs="Arial"/>
          <w:bCs/>
          <w:sz w:val="20"/>
          <w:szCs w:val="20"/>
        </w:rPr>
      </w:pPr>
    </w:p>
    <w:p w:rsidR="008D51B5" w:rsidRDefault="003B2230" w:rsidP="008D7017">
      <w:pPr>
        <w:pStyle w:val="Textoindependiente"/>
        <w:rPr>
          <w:rFonts w:ascii="Arial" w:hAnsi="Arial" w:cs="Arial"/>
          <w:iCs/>
          <w:sz w:val="20"/>
        </w:rPr>
      </w:pPr>
      <w:r w:rsidRPr="000D1A16">
        <w:rPr>
          <w:rFonts w:ascii="Arial" w:hAnsi="Arial" w:cs="Arial"/>
          <w:iCs/>
          <w:sz w:val="20"/>
        </w:rPr>
        <w:t xml:space="preserve">Los saldos al </w:t>
      </w:r>
      <w:r w:rsidR="0057169A">
        <w:rPr>
          <w:rFonts w:ascii="Arial" w:hAnsi="Arial" w:cs="Arial"/>
          <w:iCs/>
          <w:sz w:val="20"/>
        </w:rPr>
        <w:t>31 de diciembre del 2021 y 2020</w:t>
      </w:r>
      <w:r w:rsidR="008D51B5" w:rsidRPr="000D1A16">
        <w:rPr>
          <w:rFonts w:ascii="Arial" w:hAnsi="Arial" w:cs="Arial"/>
          <w:iCs/>
          <w:sz w:val="20"/>
        </w:rPr>
        <w:t xml:space="preserve"> </w:t>
      </w:r>
      <w:r w:rsidR="008C58AE" w:rsidRPr="000D1A16">
        <w:rPr>
          <w:rFonts w:ascii="Arial" w:hAnsi="Arial" w:cs="Arial"/>
          <w:iCs/>
          <w:sz w:val="20"/>
        </w:rPr>
        <w:t>de los pasivos laborales son como sigue</w:t>
      </w:r>
      <w:r w:rsidR="008D51B5" w:rsidRPr="000D1A16">
        <w:rPr>
          <w:rFonts w:ascii="Arial" w:hAnsi="Arial" w:cs="Arial"/>
          <w:iCs/>
          <w:sz w:val="20"/>
        </w:rPr>
        <w:t>:</w:t>
      </w:r>
    </w:p>
    <w:p w:rsidR="002758F6" w:rsidRDefault="002758F6" w:rsidP="008D7017">
      <w:pPr>
        <w:pStyle w:val="Textoindependiente"/>
        <w:rPr>
          <w:rFonts w:ascii="Arial" w:hAnsi="Arial" w:cs="Arial"/>
          <w:iCs/>
          <w:sz w:val="20"/>
        </w:rPr>
      </w:pPr>
    </w:p>
    <w:bookmarkStart w:id="42" w:name="_MON_1617042396"/>
    <w:bookmarkEnd w:id="42"/>
    <w:p w:rsidR="00F04BCF" w:rsidRDefault="00AA3E3B" w:rsidP="005110AA">
      <w:pPr>
        <w:pStyle w:val="Textoindependiente"/>
        <w:rPr>
          <w:rFonts w:ascii="Arial" w:hAnsi="Arial" w:cs="Arial"/>
          <w:iCs/>
          <w:sz w:val="20"/>
        </w:rPr>
      </w:pPr>
      <w:r>
        <w:rPr>
          <w:rFonts w:ascii="Arial" w:hAnsi="Arial" w:cs="Arial"/>
          <w:iCs/>
          <w:sz w:val="20"/>
        </w:rPr>
        <w:object w:dxaOrig="7262" w:dyaOrig="2251">
          <v:shape id="_x0000_i1029" type="#_x0000_t75" style="width:361.8pt;height:117pt" o:ole="">
            <v:imagedata r:id="rId16" o:title=""/>
          </v:shape>
          <o:OLEObject Type="Embed" ProgID="Excel.Sheet.12" ShapeID="_x0000_i1029" DrawAspect="Content" ObjectID="_1713338926" r:id="rId17"/>
        </w:object>
      </w:r>
    </w:p>
    <w:p w:rsidR="00395DBA" w:rsidRPr="000D1A16" w:rsidRDefault="00AA3E3B" w:rsidP="00E05DBD">
      <w:pPr>
        <w:jc w:val="both"/>
        <w:rPr>
          <w:rFonts w:ascii="Arial" w:hAnsi="Arial" w:cs="Arial"/>
          <w:sz w:val="20"/>
          <w:szCs w:val="20"/>
          <w:lang w:eastAsia="es-EC"/>
        </w:rPr>
      </w:pPr>
      <w:r>
        <w:rPr>
          <w:rFonts w:ascii="Arial" w:hAnsi="Arial" w:cs="Arial"/>
          <w:b/>
          <w:sz w:val="20"/>
          <w:szCs w:val="20"/>
        </w:rPr>
        <w:t>NOTA 10</w:t>
      </w:r>
      <w:r w:rsidR="00395DBA" w:rsidRPr="009D2B08">
        <w:rPr>
          <w:rFonts w:ascii="Arial" w:hAnsi="Arial" w:cs="Arial"/>
          <w:b/>
          <w:sz w:val="20"/>
          <w:szCs w:val="20"/>
        </w:rPr>
        <w:t xml:space="preserve"> - PATRIMONIO</w:t>
      </w:r>
    </w:p>
    <w:p w:rsidR="00524557" w:rsidRPr="000D1A16" w:rsidRDefault="00524557" w:rsidP="008D7017">
      <w:pPr>
        <w:ind w:right="-6"/>
        <w:jc w:val="both"/>
        <w:rPr>
          <w:rFonts w:ascii="Arial" w:hAnsi="Arial" w:cs="Arial"/>
          <w:b/>
          <w:sz w:val="20"/>
          <w:szCs w:val="20"/>
          <w:u w:val="single"/>
        </w:rPr>
      </w:pPr>
    </w:p>
    <w:p w:rsidR="00395DBA" w:rsidRPr="000D1A16" w:rsidRDefault="00395DBA" w:rsidP="008D7017">
      <w:pPr>
        <w:ind w:right="-6"/>
        <w:jc w:val="both"/>
        <w:rPr>
          <w:rFonts w:ascii="Arial" w:hAnsi="Arial" w:cs="Arial"/>
          <w:b/>
          <w:sz w:val="20"/>
          <w:szCs w:val="20"/>
          <w:u w:val="single"/>
        </w:rPr>
      </w:pPr>
      <w:r w:rsidRPr="000D1A16">
        <w:rPr>
          <w:rFonts w:ascii="Arial" w:hAnsi="Arial" w:cs="Arial"/>
          <w:b/>
          <w:sz w:val="20"/>
          <w:szCs w:val="20"/>
          <w:u w:val="single"/>
        </w:rPr>
        <w:t>Capital Acciones</w:t>
      </w:r>
    </w:p>
    <w:p w:rsidR="00AB7165" w:rsidRPr="000D1A16" w:rsidRDefault="00AB7165" w:rsidP="008D7017">
      <w:pPr>
        <w:ind w:right="-6"/>
        <w:jc w:val="both"/>
        <w:rPr>
          <w:rFonts w:ascii="Arial" w:hAnsi="Arial" w:cs="Arial"/>
          <w:sz w:val="20"/>
          <w:szCs w:val="20"/>
        </w:rPr>
      </w:pPr>
    </w:p>
    <w:p w:rsidR="00395DBA" w:rsidRPr="000D1A16" w:rsidRDefault="002E6DAC" w:rsidP="008D7017">
      <w:pPr>
        <w:ind w:right="-6"/>
        <w:jc w:val="both"/>
        <w:rPr>
          <w:rFonts w:ascii="Arial" w:hAnsi="Arial" w:cs="Arial"/>
          <w:sz w:val="20"/>
          <w:szCs w:val="20"/>
        </w:rPr>
      </w:pPr>
      <w:r w:rsidRPr="000D1A16">
        <w:rPr>
          <w:rFonts w:ascii="Arial" w:hAnsi="Arial" w:cs="Arial"/>
          <w:sz w:val="20"/>
          <w:szCs w:val="20"/>
        </w:rPr>
        <w:t xml:space="preserve">Al </w:t>
      </w:r>
      <w:r w:rsidR="00A109AB" w:rsidRPr="000D1A16">
        <w:rPr>
          <w:rFonts w:ascii="Arial" w:hAnsi="Arial" w:cs="Arial"/>
          <w:sz w:val="20"/>
          <w:szCs w:val="20"/>
        </w:rPr>
        <w:t>31 de d</w:t>
      </w:r>
      <w:r w:rsidR="0057169A">
        <w:rPr>
          <w:rFonts w:ascii="Arial" w:hAnsi="Arial" w:cs="Arial"/>
          <w:sz w:val="20"/>
          <w:szCs w:val="20"/>
        </w:rPr>
        <w:t>iciembre del 2021 y 2020</w:t>
      </w:r>
      <w:r w:rsidR="00395DBA" w:rsidRPr="000D1A16">
        <w:rPr>
          <w:rFonts w:ascii="Arial" w:hAnsi="Arial" w:cs="Arial"/>
          <w:sz w:val="20"/>
          <w:szCs w:val="20"/>
        </w:rPr>
        <w:t xml:space="preserve"> las acciones ordinarias autorizadas, suscritas y pagadas son de </w:t>
      </w:r>
      <w:r w:rsidR="008350D1">
        <w:rPr>
          <w:rFonts w:ascii="Arial" w:hAnsi="Arial" w:cs="Arial"/>
          <w:sz w:val="20"/>
          <w:szCs w:val="20"/>
        </w:rPr>
        <w:t>800</w:t>
      </w:r>
      <w:r w:rsidR="00395DBA" w:rsidRPr="000D1A16">
        <w:rPr>
          <w:rFonts w:ascii="Arial" w:hAnsi="Arial" w:cs="Arial"/>
          <w:sz w:val="20"/>
          <w:szCs w:val="20"/>
        </w:rPr>
        <w:t xml:space="preserve"> ac</w:t>
      </w:r>
      <w:r w:rsidR="00266704" w:rsidRPr="000D1A16">
        <w:rPr>
          <w:rFonts w:ascii="Arial" w:hAnsi="Arial" w:cs="Arial"/>
          <w:sz w:val="20"/>
          <w:szCs w:val="20"/>
        </w:rPr>
        <w:t>cio</w:t>
      </w:r>
      <w:r w:rsidR="007F4E70" w:rsidRPr="000D1A16">
        <w:rPr>
          <w:rFonts w:ascii="Arial" w:hAnsi="Arial" w:cs="Arial"/>
          <w:sz w:val="20"/>
          <w:szCs w:val="20"/>
        </w:rPr>
        <w:t xml:space="preserve">nes de US$ 1.00, cada una. </w:t>
      </w:r>
    </w:p>
    <w:p w:rsidR="006B174C" w:rsidRPr="000D1A16" w:rsidRDefault="006B174C" w:rsidP="008D7017">
      <w:pPr>
        <w:ind w:right="-6"/>
        <w:jc w:val="both"/>
        <w:rPr>
          <w:rFonts w:ascii="Arial" w:hAnsi="Arial" w:cs="Arial"/>
          <w:sz w:val="20"/>
          <w:szCs w:val="20"/>
        </w:rPr>
      </w:pPr>
    </w:p>
    <w:p w:rsidR="006B174C" w:rsidRPr="000D1A16" w:rsidRDefault="006B174C" w:rsidP="008D7017">
      <w:pPr>
        <w:ind w:right="-6"/>
        <w:jc w:val="both"/>
        <w:rPr>
          <w:rFonts w:ascii="Arial" w:hAnsi="Arial" w:cs="Arial"/>
          <w:b/>
          <w:sz w:val="20"/>
          <w:szCs w:val="20"/>
          <w:u w:val="single"/>
        </w:rPr>
      </w:pPr>
      <w:r w:rsidRPr="000D1A16">
        <w:rPr>
          <w:rFonts w:ascii="Arial" w:hAnsi="Arial" w:cs="Arial"/>
          <w:b/>
          <w:sz w:val="20"/>
          <w:szCs w:val="20"/>
          <w:u w:val="single"/>
        </w:rPr>
        <w:t>Reserva Legal</w:t>
      </w:r>
    </w:p>
    <w:p w:rsidR="006B174C" w:rsidRPr="000D1A16" w:rsidRDefault="006B174C" w:rsidP="008D7017">
      <w:pPr>
        <w:ind w:right="-6"/>
        <w:jc w:val="both"/>
        <w:rPr>
          <w:rFonts w:ascii="Arial" w:hAnsi="Arial" w:cs="Arial"/>
          <w:b/>
          <w:sz w:val="20"/>
          <w:szCs w:val="20"/>
          <w:u w:val="single"/>
        </w:rPr>
      </w:pPr>
    </w:p>
    <w:p w:rsidR="00E41256" w:rsidRDefault="006B174C" w:rsidP="00703AD7">
      <w:pPr>
        <w:ind w:right="-6"/>
        <w:jc w:val="both"/>
        <w:rPr>
          <w:rFonts w:ascii="Arial" w:hAnsi="Arial" w:cs="Arial"/>
          <w:sz w:val="20"/>
          <w:szCs w:val="20"/>
        </w:rPr>
      </w:pPr>
      <w:r w:rsidRPr="000D1A16">
        <w:rPr>
          <w:rFonts w:ascii="Arial" w:hAnsi="Arial" w:cs="Arial"/>
          <w:sz w:val="20"/>
          <w:szCs w:val="20"/>
        </w:rPr>
        <w:t>La ley de Compañías de la República del Ecuador, requiere que las compañías anónimas transfieran a reserva legal por lo menos 10% de la utilidad neta anual. Hasta igualar por lo menos  50% del capital social. Dicha reserva no está sujeta a distribución, excepto en el caso de liquidación de la Compañía, pero puede ser utilizada para aumentar el capital o para cubrir pérdidas en las operacione</w:t>
      </w:r>
      <w:r w:rsidR="00703AD7">
        <w:rPr>
          <w:rFonts w:ascii="Arial" w:hAnsi="Arial" w:cs="Arial"/>
          <w:sz w:val="20"/>
          <w:szCs w:val="20"/>
        </w:rPr>
        <w:t xml:space="preserve">s. </w:t>
      </w:r>
    </w:p>
    <w:p w:rsidR="006B174C" w:rsidRPr="000D1A16" w:rsidRDefault="006B174C" w:rsidP="008D7017">
      <w:pPr>
        <w:jc w:val="both"/>
        <w:rPr>
          <w:rFonts w:ascii="Arial" w:hAnsi="Arial" w:cs="Arial"/>
          <w:b/>
          <w:bCs/>
          <w:sz w:val="20"/>
          <w:szCs w:val="20"/>
          <w:u w:val="single"/>
        </w:rPr>
      </w:pPr>
    </w:p>
    <w:p w:rsidR="00395DBA" w:rsidRPr="000D1A16" w:rsidRDefault="00AA3E3B" w:rsidP="008D7017">
      <w:pPr>
        <w:rPr>
          <w:rFonts w:ascii="Arial" w:hAnsi="Arial" w:cs="Arial"/>
          <w:b/>
          <w:bCs/>
          <w:sz w:val="20"/>
          <w:szCs w:val="20"/>
        </w:rPr>
      </w:pPr>
      <w:r>
        <w:rPr>
          <w:rFonts w:ascii="Arial" w:hAnsi="Arial" w:cs="Arial"/>
          <w:b/>
          <w:bCs/>
          <w:sz w:val="20"/>
          <w:szCs w:val="20"/>
        </w:rPr>
        <w:t>NOTA 11</w:t>
      </w:r>
      <w:r w:rsidR="00395DBA" w:rsidRPr="009D2B08">
        <w:rPr>
          <w:rFonts w:ascii="Arial" w:hAnsi="Arial" w:cs="Arial"/>
          <w:b/>
          <w:bCs/>
          <w:sz w:val="20"/>
          <w:szCs w:val="20"/>
        </w:rPr>
        <w:t xml:space="preserve"> – INGRESOS </w:t>
      </w:r>
      <w:r w:rsidR="00E224D9" w:rsidRPr="009D2B08">
        <w:rPr>
          <w:rFonts w:ascii="Arial" w:hAnsi="Arial" w:cs="Arial"/>
          <w:b/>
          <w:bCs/>
          <w:sz w:val="20"/>
          <w:szCs w:val="20"/>
        </w:rPr>
        <w:t>POR VENTAS</w:t>
      </w:r>
      <w:r w:rsidR="00CF7127">
        <w:rPr>
          <w:rFonts w:ascii="Arial" w:hAnsi="Arial" w:cs="Arial"/>
          <w:b/>
          <w:bCs/>
          <w:sz w:val="20"/>
          <w:szCs w:val="20"/>
        </w:rPr>
        <w:t xml:space="preserve"> Y COSTO DE VENTAS</w:t>
      </w:r>
    </w:p>
    <w:p w:rsidR="000075DA" w:rsidRPr="000D1A16" w:rsidRDefault="000075DA" w:rsidP="008D7017">
      <w:pPr>
        <w:pStyle w:val="Cuerpodeltexto20"/>
        <w:shd w:val="clear" w:color="auto" w:fill="auto"/>
        <w:spacing w:line="240" w:lineRule="auto"/>
        <w:ind w:firstLine="0"/>
        <w:jc w:val="both"/>
        <w:rPr>
          <w:rFonts w:eastAsia="Times New Roman"/>
          <w:sz w:val="20"/>
          <w:szCs w:val="20"/>
          <w:lang w:val="es-ES" w:eastAsia="es-ES"/>
        </w:rPr>
      </w:pPr>
    </w:p>
    <w:p w:rsidR="00E224D9" w:rsidRDefault="003D5321" w:rsidP="00F40669">
      <w:pPr>
        <w:jc w:val="both"/>
        <w:rPr>
          <w:rFonts w:ascii="Arial" w:hAnsi="Arial" w:cs="Arial"/>
          <w:sz w:val="20"/>
          <w:szCs w:val="20"/>
        </w:rPr>
      </w:pPr>
      <w:r w:rsidRPr="000D1A16">
        <w:rPr>
          <w:rFonts w:ascii="Arial" w:hAnsi="Arial" w:cs="Arial"/>
          <w:sz w:val="20"/>
          <w:szCs w:val="20"/>
        </w:rPr>
        <w:t>En</w:t>
      </w:r>
      <w:r w:rsidR="00387A0F" w:rsidRPr="000D1A16">
        <w:rPr>
          <w:rFonts w:ascii="Arial" w:hAnsi="Arial" w:cs="Arial"/>
          <w:sz w:val="20"/>
          <w:szCs w:val="20"/>
        </w:rPr>
        <w:t xml:space="preserve"> el año termi</w:t>
      </w:r>
      <w:r w:rsidR="002E6DAC" w:rsidRPr="000D1A16">
        <w:rPr>
          <w:rFonts w:ascii="Arial" w:hAnsi="Arial" w:cs="Arial"/>
          <w:sz w:val="20"/>
          <w:szCs w:val="20"/>
        </w:rPr>
        <w:t xml:space="preserve">nado el </w:t>
      </w:r>
      <w:r w:rsidR="0057169A">
        <w:rPr>
          <w:rFonts w:ascii="Arial" w:hAnsi="Arial" w:cs="Arial"/>
          <w:sz w:val="20"/>
          <w:szCs w:val="20"/>
        </w:rPr>
        <w:t>31 de diciembre del 2021 y 2020</w:t>
      </w:r>
      <w:r w:rsidR="00387A0F" w:rsidRPr="000D1A16">
        <w:rPr>
          <w:rFonts w:ascii="Arial" w:hAnsi="Arial" w:cs="Arial"/>
          <w:sz w:val="20"/>
          <w:szCs w:val="20"/>
        </w:rPr>
        <w:t xml:space="preserve">, los </w:t>
      </w:r>
      <w:r w:rsidR="00E224D9">
        <w:rPr>
          <w:rFonts w:ascii="Arial" w:hAnsi="Arial" w:cs="Arial"/>
          <w:sz w:val="20"/>
          <w:szCs w:val="20"/>
        </w:rPr>
        <w:t>ingresos de venta</w:t>
      </w:r>
      <w:r w:rsidR="005344A6" w:rsidRPr="000D1A16">
        <w:rPr>
          <w:rFonts w:ascii="Arial" w:hAnsi="Arial" w:cs="Arial"/>
          <w:sz w:val="20"/>
          <w:szCs w:val="20"/>
        </w:rPr>
        <w:t xml:space="preserve">s </w:t>
      </w:r>
      <w:r w:rsidR="00E224D9">
        <w:rPr>
          <w:rFonts w:ascii="Arial" w:hAnsi="Arial" w:cs="Arial"/>
          <w:sz w:val="20"/>
          <w:szCs w:val="20"/>
        </w:rPr>
        <w:t>y costo de ventas</w:t>
      </w:r>
      <w:r w:rsidR="005344A6" w:rsidRPr="000D1A16">
        <w:rPr>
          <w:rFonts w:ascii="Arial" w:hAnsi="Arial" w:cs="Arial"/>
          <w:sz w:val="20"/>
          <w:szCs w:val="20"/>
        </w:rPr>
        <w:t xml:space="preserve"> son como sigue:</w:t>
      </w:r>
      <w:bookmarkStart w:id="43" w:name="_MON_1552534156"/>
      <w:bookmarkEnd w:id="43"/>
    </w:p>
    <w:bookmarkStart w:id="44" w:name="_MON_1617022159"/>
    <w:bookmarkEnd w:id="44"/>
    <w:p w:rsidR="0073388E" w:rsidRPr="0059247D" w:rsidRDefault="00AA3E3B" w:rsidP="008D7017">
      <w:pPr>
        <w:rPr>
          <w:rFonts w:ascii="Arial" w:hAnsi="Arial" w:cs="Arial"/>
          <w:sz w:val="20"/>
          <w:szCs w:val="20"/>
        </w:rPr>
      </w:pPr>
      <w:r>
        <w:rPr>
          <w:rFonts w:ascii="Arial" w:hAnsi="Arial" w:cs="Arial"/>
          <w:sz w:val="20"/>
          <w:szCs w:val="20"/>
        </w:rPr>
        <w:object w:dxaOrig="10575" w:dyaOrig="1084">
          <v:shape id="_x0000_i1030" type="#_x0000_t75" style="width:394.2pt;height:52.2pt" o:ole="">
            <v:imagedata r:id="rId18" o:title=""/>
          </v:shape>
          <o:OLEObject Type="Embed" ProgID="Excel.Sheet.12" ShapeID="_x0000_i1030" DrawAspect="Content" ObjectID="_1713338927" r:id="rId19"/>
        </w:object>
      </w:r>
      <w:bookmarkStart w:id="45" w:name="_MON_1552476312"/>
      <w:bookmarkEnd w:id="45"/>
    </w:p>
    <w:p w:rsidR="00F40669" w:rsidRDefault="00F40669" w:rsidP="008D7017">
      <w:pPr>
        <w:rPr>
          <w:rFonts w:ascii="Arial" w:hAnsi="Arial" w:cs="Arial"/>
          <w:b/>
          <w:bCs/>
          <w:sz w:val="20"/>
          <w:szCs w:val="20"/>
        </w:rPr>
      </w:pPr>
    </w:p>
    <w:p w:rsidR="00395DBA" w:rsidRPr="000D1A16" w:rsidRDefault="009D2B08" w:rsidP="008D7017">
      <w:pPr>
        <w:rPr>
          <w:rFonts w:ascii="Arial" w:hAnsi="Arial" w:cs="Arial"/>
          <w:sz w:val="20"/>
          <w:szCs w:val="20"/>
        </w:rPr>
      </w:pPr>
      <w:r>
        <w:rPr>
          <w:rFonts w:ascii="Arial" w:hAnsi="Arial" w:cs="Arial"/>
          <w:b/>
          <w:bCs/>
          <w:sz w:val="20"/>
          <w:szCs w:val="20"/>
        </w:rPr>
        <w:t>N</w:t>
      </w:r>
      <w:r w:rsidR="00AB255F">
        <w:rPr>
          <w:rFonts w:ascii="Arial" w:hAnsi="Arial" w:cs="Arial"/>
          <w:b/>
          <w:bCs/>
          <w:sz w:val="20"/>
          <w:szCs w:val="20"/>
        </w:rPr>
        <w:t>OTA 12</w:t>
      </w:r>
      <w:r w:rsidR="00395DBA" w:rsidRPr="009D2B08">
        <w:rPr>
          <w:rFonts w:ascii="Arial" w:hAnsi="Arial" w:cs="Arial"/>
          <w:b/>
          <w:bCs/>
          <w:sz w:val="20"/>
          <w:szCs w:val="20"/>
        </w:rPr>
        <w:t xml:space="preserve"> – </w:t>
      </w:r>
      <w:r w:rsidR="00D808CE" w:rsidRPr="009D2B08">
        <w:rPr>
          <w:rFonts w:ascii="Arial" w:hAnsi="Arial" w:cs="Arial"/>
          <w:b/>
          <w:bCs/>
          <w:sz w:val="20"/>
          <w:szCs w:val="20"/>
        </w:rPr>
        <w:t>GASTOS DE ADMINISTRACIÓN Y VENTAS</w:t>
      </w:r>
    </w:p>
    <w:p w:rsidR="00395DBA" w:rsidRPr="000D1A16" w:rsidRDefault="00395DBA" w:rsidP="008D7017">
      <w:pPr>
        <w:rPr>
          <w:rFonts w:ascii="Arial" w:hAnsi="Arial" w:cs="Arial"/>
          <w:bCs/>
          <w:sz w:val="20"/>
          <w:szCs w:val="20"/>
        </w:rPr>
      </w:pPr>
    </w:p>
    <w:p w:rsidR="00395DBA" w:rsidRPr="000D1A16" w:rsidRDefault="00395DBA" w:rsidP="008D7017">
      <w:pPr>
        <w:rPr>
          <w:rFonts w:ascii="Arial" w:hAnsi="Arial" w:cs="Arial"/>
          <w:sz w:val="20"/>
          <w:szCs w:val="20"/>
        </w:rPr>
      </w:pPr>
      <w:r w:rsidRPr="000D1A16">
        <w:rPr>
          <w:rFonts w:ascii="Arial" w:hAnsi="Arial" w:cs="Arial"/>
          <w:bCs/>
          <w:sz w:val="20"/>
          <w:szCs w:val="20"/>
        </w:rPr>
        <w:t xml:space="preserve">Un detalle de los </w:t>
      </w:r>
      <w:r w:rsidR="00C77B18">
        <w:rPr>
          <w:rFonts w:ascii="Arial" w:hAnsi="Arial" w:cs="Arial"/>
          <w:bCs/>
          <w:sz w:val="20"/>
          <w:szCs w:val="20"/>
        </w:rPr>
        <w:t>costos de operación</w:t>
      </w:r>
      <w:r w:rsidR="003D5321" w:rsidRPr="000D1A16">
        <w:rPr>
          <w:rFonts w:ascii="Arial" w:hAnsi="Arial" w:cs="Arial"/>
          <w:bCs/>
          <w:sz w:val="20"/>
          <w:szCs w:val="20"/>
        </w:rPr>
        <w:t xml:space="preserve"> </w:t>
      </w:r>
      <w:r w:rsidRPr="000D1A16">
        <w:rPr>
          <w:rFonts w:ascii="Arial" w:hAnsi="Arial" w:cs="Arial"/>
          <w:bCs/>
          <w:sz w:val="20"/>
          <w:szCs w:val="20"/>
        </w:rPr>
        <w:t>de los años termin</w:t>
      </w:r>
      <w:r w:rsidR="00E05DBD" w:rsidRPr="000D1A16">
        <w:rPr>
          <w:rFonts w:ascii="Arial" w:hAnsi="Arial" w:cs="Arial"/>
          <w:bCs/>
          <w:sz w:val="20"/>
          <w:szCs w:val="20"/>
        </w:rPr>
        <w:t xml:space="preserve">ados el </w:t>
      </w:r>
      <w:r w:rsidR="00352F50">
        <w:rPr>
          <w:rFonts w:ascii="Arial" w:hAnsi="Arial" w:cs="Arial"/>
          <w:bCs/>
          <w:sz w:val="20"/>
          <w:szCs w:val="20"/>
        </w:rPr>
        <w:t>31 de diciembre del 2021 y 2020</w:t>
      </w:r>
      <w:r w:rsidRPr="000D1A16">
        <w:rPr>
          <w:rFonts w:ascii="Arial" w:hAnsi="Arial" w:cs="Arial"/>
          <w:bCs/>
          <w:sz w:val="20"/>
          <w:szCs w:val="20"/>
        </w:rPr>
        <w:t xml:space="preserve"> </w:t>
      </w:r>
      <w:r w:rsidRPr="000D1A16">
        <w:rPr>
          <w:rFonts w:ascii="Arial" w:hAnsi="Arial" w:cs="Arial"/>
          <w:sz w:val="20"/>
          <w:szCs w:val="20"/>
        </w:rPr>
        <w:t>es como sigue:</w:t>
      </w:r>
    </w:p>
    <w:bookmarkStart w:id="46" w:name="_MON_1457287269"/>
    <w:bookmarkStart w:id="47" w:name="_MON_1457287389"/>
    <w:bookmarkStart w:id="48" w:name="_MON_1551950587"/>
    <w:bookmarkStart w:id="49" w:name="_MON_1424276521"/>
    <w:bookmarkEnd w:id="46"/>
    <w:bookmarkEnd w:id="47"/>
    <w:bookmarkEnd w:id="48"/>
    <w:bookmarkEnd w:id="49"/>
    <w:bookmarkStart w:id="50" w:name="_MON_1617027208"/>
    <w:bookmarkEnd w:id="50"/>
    <w:p w:rsidR="00C83B0A" w:rsidRDefault="00AA3E3B" w:rsidP="0073388E">
      <w:pPr>
        <w:jc w:val="center"/>
        <w:rPr>
          <w:rFonts w:ascii="Arial" w:hAnsi="Arial" w:cs="Arial"/>
          <w:b/>
          <w:sz w:val="20"/>
          <w:szCs w:val="20"/>
        </w:rPr>
      </w:pPr>
      <w:r>
        <w:rPr>
          <w:rFonts w:ascii="Arial" w:hAnsi="Arial" w:cs="Arial"/>
          <w:b/>
          <w:sz w:val="20"/>
          <w:szCs w:val="20"/>
        </w:rPr>
        <w:object w:dxaOrig="8313" w:dyaOrig="5096">
          <v:shape id="_x0000_i1031" type="#_x0000_t75" style="width:443.4pt;height:245.4pt" o:ole="">
            <v:imagedata r:id="rId20" o:title=""/>
          </v:shape>
          <o:OLEObject Type="Embed" ProgID="Excel.Sheet.12" ShapeID="_x0000_i1031" DrawAspect="Content" ObjectID="_1713338928" r:id="rId21"/>
        </w:object>
      </w:r>
    </w:p>
    <w:p w:rsidR="00AB255F" w:rsidRDefault="00AB255F" w:rsidP="00AD2F70">
      <w:pPr>
        <w:rPr>
          <w:rFonts w:ascii="Arial" w:hAnsi="Arial" w:cs="Arial"/>
          <w:b/>
          <w:bCs/>
          <w:sz w:val="20"/>
          <w:szCs w:val="20"/>
        </w:rPr>
      </w:pPr>
    </w:p>
    <w:p w:rsidR="00395DBA" w:rsidRPr="000D1A16" w:rsidRDefault="00020536" w:rsidP="00AD2F70">
      <w:pPr>
        <w:rPr>
          <w:rFonts w:ascii="Arial" w:hAnsi="Arial" w:cs="Arial"/>
          <w:b/>
          <w:sz w:val="20"/>
          <w:szCs w:val="20"/>
        </w:rPr>
      </w:pPr>
      <w:r>
        <w:rPr>
          <w:rFonts w:ascii="Arial" w:hAnsi="Arial" w:cs="Arial"/>
          <w:b/>
          <w:bCs/>
          <w:sz w:val="20"/>
          <w:szCs w:val="20"/>
        </w:rPr>
        <w:t>N</w:t>
      </w:r>
      <w:r w:rsidR="00AB255F">
        <w:rPr>
          <w:rFonts w:ascii="Arial" w:hAnsi="Arial" w:cs="Arial"/>
          <w:b/>
          <w:bCs/>
          <w:sz w:val="20"/>
          <w:szCs w:val="20"/>
        </w:rPr>
        <w:t>OTA 13</w:t>
      </w:r>
      <w:r w:rsidR="00395DBA" w:rsidRPr="00020536">
        <w:rPr>
          <w:rFonts w:ascii="Arial" w:hAnsi="Arial" w:cs="Arial"/>
          <w:b/>
          <w:bCs/>
          <w:sz w:val="20"/>
          <w:szCs w:val="20"/>
        </w:rPr>
        <w:t xml:space="preserve"> – IMPUESTOS </w:t>
      </w:r>
      <w:r w:rsidR="008C58AE" w:rsidRPr="00020536">
        <w:rPr>
          <w:rFonts w:ascii="Arial" w:hAnsi="Arial" w:cs="Arial"/>
          <w:b/>
          <w:bCs/>
          <w:sz w:val="20"/>
          <w:szCs w:val="20"/>
        </w:rPr>
        <w:t>CORRIENTES POR COBRAR</w:t>
      </w:r>
      <w:r w:rsidR="00395DBA" w:rsidRPr="00020536">
        <w:rPr>
          <w:rFonts w:ascii="Arial" w:hAnsi="Arial" w:cs="Arial"/>
          <w:b/>
          <w:bCs/>
          <w:sz w:val="20"/>
          <w:szCs w:val="20"/>
        </w:rPr>
        <w:t xml:space="preserve"> Y POR PAGAR</w:t>
      </w:r>
    </w:p>
    <w:p w:rsidR="00395DBA" w:rsidRPr="000D1A16" w:rsidRDefault="00395DBA" w:rsidP="008D7017">
      <w:pPr>
        <w:rPr>
          <w:rFonts w:ascii="Arial" w:hAnsi="Arial" w:cs="Arial"/>
          <w:sz w:val="20"/>
          <w:szCs w:val="20"/>
          <w:lang w:eastAsia="x-none"/>
        </w:rPr>
      </w:pPr>
    </w:p>
    <w:p w:rsidR="00EB1F00" w:rsidRPr="000D1A16" w:rsidRDefault="00EB1F00" w:rsidP="008D7017">
      <w:pPr>
        <w:rPr>
          <w:rFonts w:ascii="Arial" w:hAnsi="Arial" w:cs="Arial"/>
          <w:sz w:val="20"/>
          <w:szCs w:val="20"/>
          <w:lang w:eastAsia="x-none"/>
        </w:rPr>
      </w:pPr>
      <w:r w:rsidRPr="000D1A16">
        <w:rPr>
          <w:rFonts w:ascii="Arial" w:hAnsi="Arial" w:cs="Arial"/>
          <w:sz w:val="20"/>
          <w:szCs w:val="20"/>
          <w:lang w:eastAsia="x-none"/>
        </w:rPr>
        <w:t>Los sa</w:t>
      </w:r>
      <w:r w:rsidR="0055769E">
        <w:rPr>
          <w:rFonts w:ascii="Arial" w:hAnsi="Arial" w:cs="Arial"/>
          <w:sz w:val="20"/>
          <w:szCs w:val="20"/>
          <w:lang w:eastAsia="x-none"/>
        </w:rPr>
        <w:t>ldos al 31 de diciembre del 2021 y 2020</w:t>
      </w:r>
      <w:r w:rsidRPr="000D1A16">
        <w:rPr>
          <w:rFonts w:ascii="Arial" w:hAnsi="Arial" w:cs="Arial"/>
          <w:sz w:val="20"/>
          <w:szCs w:val="20"/>
          <w:lang w:eastAsia="x-none"/>
        </w:rPr>
        <w:t xml:space="preserve"> de los</w:t>
      </w:r>
      <w:r w:rsidR="00541F1F">
        <w:rPr>
          <w:rFonts w:ascii="Arial" w:hAnsi="Arial" w:cs="Arial"/>
          <w:sz w:val="20"/>
          <w:szCs w:val="20"/>
          <w:lang w:eastAsia="x-none"/>
        </w:rPr>
        <w:t xml:space="preserve"> impuestos corrientes por recuperar</w:t>
      </w:r>
      <w:r w:rsidRPr="000D1A16">
        <w:rPr>
          <w:rFonts w:ascii="Arial" w:hAnsi="Arial" w:cs="Arial"/>
          <w:sz w:val="20"/>
          <w:szCs w:val="20"/>
          <w:lang w:eastAsia="x-none"/>
        </w:rPr>
        <w:t xml:space="preserve"> y por pagar son como sigue:</w:t>
      </w:r>
    </w:p>
    <w:p w:rsidR="0037750F" w:rsidRDefault="0037750F" w:rsidP="00EB1F00">
      <w:pPr>
        <w:pStyle w:val="Textoindependiente"/>
        <w:rPr>
          <w:rFonts w:ascii="Arial" w:hAnsi="Arial" w:cs="Arial"/>
          <w:b/>
          <w:iCs/>
          <w:sz w:val="20"/>
          <w:u w:val="single"/>
        </w:rPr>
      </w:pPr>
    </w:p>
    <w:p w:rsidR="00022C86" w:rsidRDefault="00B36793" w:rsidP="00EB1F00">
      <w:pPr>
        <w:pStyle w:val="Textoindependiente"/>
        <w:rPr>
          <w:rFonts w:ascii="Arial" w:hAnsi="Arial" w:cs="Arial"/>
          <w:b/>
          <w:iCs/>
          <w:sz w:val="20"/>
          <w:u w:val="single"/>
        </w:rPr>
      </w:pPr>
      <w:r w:rsidRPr="000D1A16">
        <w:rPr>
          <w:rFonts w:ascii="Arial" w:hAnsi="Arial" w:cs="Arial"/>
          <w:b/>
          <w:iCs/>
          <w:sz w:val="20"/>
          <w:u w:val="single"/>
        </w:rPr>
        <w:t>Por recuperar</w:t>
      </w:r>
      <w:r w:rsidR="00773EA2" w:rsidRPr="000D1A16">
        <w:rPr>
          <w:rFonts w:ascii="Arial" w:hAnsi="Arial" w:cs="Arial"/>
          <w:b/>
          <w:iCs/>
          <w:sz w:val="20"/>
          <w:u w:val="single"/>
        </w:rPr>
        <w:t>:</w:t>
      </w:r>
    </w:p>
    <w:p w:rsidR="00FB5F9D" w:rsidRDefault="00FB5F9D" w:rsidP="00EB1F00">
      <w:pPr>
        <w:pStyle w:val="Textoindependiente"/>
        <w:rPr>
          <w:rFonts w:ascii="Arial" w:hAnsi="Arial" w:cs="Arial"/>
          <w:b/>
          <w:iCs/>
          <w:sz w:val="20"/>
          <w:u w:val="single"/>
        </w:rPr>
      </w:pPr>
      <w:bookmarkStart w:id="51" w:name="_MON_1617032789"/>
      <w:bookmarkEnd w:id="51"/>
    </w:p>
    <w:p w:rsidR="00F1197C" w:rsidRPr="000D1A16" w:rsidRDefault="007D2118" w:rsidP="00B36793">
      <w:pPr>
        <w:pStyle w:val="Textoindependiente"/>
        <w:rPr>
          <w:rFonts w:ascii="Arial" w:hAnsi="Arial" w:cs="Arial"/>
          <w:sz w:val="20"/>
        </w:rPr>
      </w:pPr>
      <w:r w:rsidRPr="000D1A16">
        <w:rPr>
          <w:rFonts w:ascii="Arial" w:hAnsi="Arial" w:cs="Arial"/>
          <w:sz w:val="20"/>
        </w:rPr>
        <w:t>Los s</w:t>
      </w:r>
      <w:r w:rsidR="00B36793" w:rsidRPr="000D1A16">
        <w:rPr>
          <w:rFonts w:ascii="Arial" w:hAnsi="Arial" w:cs="Arial"/>
          <w:sz w:val="20"/>
        </w:rPr>
        <w:t>aldos</w:t>
      </w:r>
      <w:r w:rsidR="009C14C6" w:rsidRPr="000D1A16">
        <w:rPr>
          <w:rFonts w:ascii="Arial" w:hAnsi="Arial" w:cs="Arial"/>
          <w:sz w:val="20"/>
        </w:rPr>
        <w:t xml:space="preserve"> por recuperar</w:t>
      </w:r>
      <w:r w:rsidR="00E05DBD" w:rsidRPr="000D1A16">
        <w:rPr>
          <w:rFonts w:ascii="Arial" w:hAnsi="Arial" w:cs="Arial"/>
          <w:sz w:val="20"/>
        </w:rPr>
        <w:t xml:space="preserve"> al </w:t>
      </w:r>
      <w:r w:rsidR="00AB255F">
        <w:rPr>
          <w:rFonts w:ascii="Arial" w:hAnsi="Arial" w:cs="Arial"/>
          <w:sz w:val="20"/>
        </w:rPr>
        <w:t>31 de diciembre del 2021</w:t>
      </w:r>
      <w:r w:rsidR="000D0A4D">
        <w:rPr>
          <w:rFonts w:ascii="Arial" w:hAnsi="Arial" w:cs="Arial"/>
          <w:sz w:val="20"/>
        </w:rPr>
        <w:t xml:space="preserve"> </w:t>
      </w:r>
      <w:r w:rsidR="003C6990" w:rsidRPr="000D1A16">
        <w:rPr>
          <w:rFonts w:ascii="Arial" w:hAnsi="Arial" w:cs="Arial"/>
          <w:sz w:val="20"/>
        </w:rPr>
        <w:t>constituye el saldo a favor de la Compañí</w:t>
      </w:r>
      <w:r w:rsidR="0047131D" w:rsidRPr="000D1A16">
        <w:rPr>
          <w:rFonts w:ascii="Arial" w:hAnsi="Arial" w:cs="Arial"/>
          <w:sz w:val="20"/>
        </w:rPr>
        <w:t xml:space="preserve">a de las retenciones que le efectuaron de impuesto a la renta </w:t>
      </w:r>
      <w:r w:rsidR="00AB255F">
        <w:rPr>
          <w:rFonts w:ascii="Arial" w:hAnsi="Arial" w:cs="Arial"/>
          <w:sz w:val="20"/>
        </w:rPr>
        <w:t>por US6.076 (US$ 11.712 al 31 de diciembre del 2020)</w:t>
      </w:r>
      <w:r w:rsidR="000D0A4D">
        <w:rPr>
          <w:rFonts w:ascii="Arial" w:hAnsi="Arial" w:cs="Arial"/>
          <w:sz w:val="20"/>
        </w:rPr>
        <w:t xml:space="preserve"> </w:t>
      </w:r>
      <w:r w:rsidR="003C6990" w:rsidRPr="000D1A16">
        <w:rPr>
          <w:rFonts w:ascii="Arial" w:hAnsi="Arial" w:cs="Arial"/>
          <w:sz w:val="20"/>
        </w:rPr>
        <w:t xml:space="preserve">los cuales </w:t>
      </w:r>
      <w:r w:rsidR="00AB255F">
        <w:rPr>
          <w:rFonts w:ascii="Arial" w:hAnsi="Arial" w:cs="Arial"/>
          <w:sz w:val="20"/>
        </w:rPr>
        <w:t>serán</w:t>
      </w:r>
      <w:r w:rsidR="003C6990" w:rsidRPr="000D1A16">
        <w:rPr>
          <w:rFonts w:ascii="Arial" w:hAnsi="Arial" w:cs="Arial"/>
          <w:sz w:val="20"/>
        </w:rPr>
        <w:t xml:space="preserve"> compensados con los impuestos de la Compañía</w:t>
      </w:r>
      <w:r w:rsidR="0055769E">
        <w:rPr>
          <w:rFonts w:ascii="Arial" w:hAnsi="Arial" w:cs="Arial"/>
          <w:sz w:val="20"/>
        </w:rPr>
        <w:t>.</w:t>
      </w:r>
    </w:p>
    <w:p w:rsidR="00CC41E2" w:rsidRPr="000D1A16" w:rsidRDefault="00CC41E2" w:rsidP="00B36793">
      <w:pPr>
        <w:pStyle w:val="Textoindependiente"/>
        <w:rPr>
          <w:rFonts w:ascii="Arial" w:hAnsi="Arial" w:cs="Arial"/>
          <w:sz w:val="20"/>
        </w:rPr>
      </w:pPr>
    </w:p>
    <w:p w:rsidR="00B36793" w:rsidRPr="000D1A16" w:rsidRDefault="00B36793" w:rsidP="003D5321">
      <w:pPr>
        <w:jc w:val="both"/>
        <w:rPr>
          <w:rFonts w:ascii="Arial" w:hAnsi="Arial" w:cs="Arial"/>
          <w:b/>
          <w:sz w:val="20"/>
          <w:szCs w:val="20"/>
          <w:u w:val="single"/>
          <w:lang w:val="es-EC" w:eastAsia="x-none"/>
        </w:rPr>
      </w:pPr>
      <w:r w:rsidRPr="000D1A16">
        <w:rPr>
          <w:rFonts w:ascii="Arial" w:hAnsi="Arial" w:cs="Arial"/>
          <w:b/>
          <w:sz w:val="20"/>
          <w:u w:val="single"/>
        </w:rPr>
        <w:t>Por pagar</w:t>
      </w:r>
      <w:r w:rsidR="00773EA2" w:rsidRPr="000D1A16">
        <w:rPr>
          <w:rFonts w:ascii="Arial" w:hAnsi="Arial" w:cs="Arial"/>
          <w:b/>
          <w:sz w:val="20"/>
          <w:u w:val="single"/>
        </w:rPr>
        <w:t>:</w:t>
      </w:r>
    </w:p>
    <w:p w:rsidR="00CC41E2" w:rsidRPr="0037750F" w:rsidRDefault="00AD2854" w:rsidP="0037750F">
      <w:pPr>
        <w:pStyle w:val="Textoindependiente"/>
        <w:rPr>
          <w:rFonts w:ascii="Arial" w:hAnsi="Arial" w:cs="Arial"/>
          <w:b/>
          <w:spacing w:val="-3"/>
          <w:sz w:val="20"/>
        </w:rPr>
      </w:pPr>
      <w:r>
        <w:rPr>
          <w:rFonts w:ascii="Arial" w:hAnsi="Arial" w:cs="Arial"/>
          <w:b/>
          <w:noProof/>
          <w:spacing w:val="-3"/>
          <w:sz w:val="20"/>
        </w:rPr>
        <w:object w:dxaOrig="6119" w:dyaOrig="1590">
          <v:shape id="_x0000_s1053" type="#_x0000_t75" style="position:absolute;left:0;text-align:left;margin-left:-5.85pt;margin-top:2.5pt;width:344.05pt;height:61.05pt;z-index:251659264;mso-position-horizontal-relative:text;mso-position-vertical-relative:text">
            <v:imagedata r:id="rId22" o:title=""/>
            <w10:wrap type="square" side="right"/>
          </v:shape>
          <o:OLEObject Type="Embed" ProgID="Excel.Sheet.12" ShapeID="_x0000_s1053" DrawAspect="Content" ObjectID="_1713338930" r:id="rId23"/>
        </w:object>
      </w:r>
      <w:r w:rsidR="00CC41E2">
        <w:rPr>
          <w:rFonts w:ascii="Arial" w:hAnsi="Arial" w:cs="Arial"/>
          <w:sz w:val="20"/>
        </w:rPr>
        <w:br w:type="textWrapping" w:clear="all"/>
      </w:r>
    </w:p>
    <w:p w:rsidR="002B227F" w:rsidRPr="000D1A16" w:rsidRDefault="002B227F" w:rsidP="008D7017">
      <w:pPr>
        <w:jc w:val="both"/>
        <w:rPr>
          <w:rFonts w:ascii="Arial" w:hAnsi="Arial" w:cs="Arial"/>
          <w:sz w:val="20"/>
          <w:szCs w:val="20"/>
          <w:lang w:val="es-EC"/>
        </w:rPr>
      </w:pPr>
    </w:p>
    <w:p w:rsidR="00395DBA" w:rsidRPr="000D1A16" w:rsidRDefault="00AB255F" w:rsidP="008D7017">
      <w:pPr>
        <w:jc w:val="both"/>
        <w:rPr>
          <w:rFonts w:ascii="Arial" w:hAnsi="Arial" w:cs="Arial"/>
          <w:b/>
          <w:sz w:val="20"/>
          <w:szCs w:val="20"/>
        </w:rPr>
      </w:pPr>
      <w:r>
        <w:rPr>
          <w:rFonts w:ascii="Arial" w:hAnsi="Arial" w:cs="Arial"/>
          <w:b/>
          <w:sz w:val="20"/>
          <w:szCs w:val="20"/>
        </w:rPr>
        <w:t>NOTA 14</w:t>
      </w:r>
      <w:r w:rsidR="00395DBA" w:rsidRPr="00DE5D79">
        <w:rPr>
          <w:rFonts w:ascii="Arial" w:hAnsi="Arial" w:cs="Arial"/>
          <w:b/>
          <w:sz w:val="20"/>
          <w:szCs w:val="20"/>
        </w:rPr>
        <w:t xml:space="preserve"> – </w:t>
      </w:r>
      <w:r w:rsidR="009E34D9" w:rsidRPr="00DE5D79">
        <w:rPr>
          <w:rFonts w:ascii="Arial" w:hAnsi="Arial" w:cs="Arial"/>
          <w:b/>
          <w:sz w:val="20"/>
          <w:szCs w:val="20"/>
        </w:rPr>
        <w:t xml:space="preserve">CUENTAS POR COBRAR Y PAGAR </w:t>
      </w:r>
      <w:r w:rsidR="00395DBA" w:rsidRPr="00DE5D79">
        <w:rPr>
          <w:rFonts w:ascii="Arial" w:hAnsi="Arial" w:cs="Arial"/>
          <w:b/>
          <w:sz w:val="20"/>
          <w:szCs w:val="20"/>
        </w:rPr>
        <w:t>RELACIONADAS</w:t>
      </w:r>
      <w:r w:rsidR="00395DBA" w:rsidRPr="000D1A16">
        <w:rPr>
          <w:rFonts w:ascii="Arial" w:hAnsi="Arial" w:cs="Arial"/>
          <w:b/>
          <w:sz w:val="20"/>
          <w:szCs w:val="20"/>
        </w:rPr>
        <w:t xml:space="preserve"> </w:t>
      </w:r>
    </w:p>
    <w:p w:rsidR="00395DBA" w:rsidRPr="000D1A16" w:rsidRDefault="00395DBA" w:rsidP="008D7017">
      <w:pPr>
        <w:pStyle w:val="Sangra3detindependiente"/>
        <w:ind w:left="0" w:firstLine="0"/>
        <w:rPr>
          <w:rFonts w:ascii="Arial" w:hAnsi="Arial" w:cs="Arial"/>
          <w:sz w:val="20"/>
          <w:lang w:val="es-ES"/>
        </w:rPr>
      </w:pPr>
    </w:p>
    <w:p w:rsidR="00395DBA" w:rsidRPr="000D1A16" w:rsidRDefault="00395DBA" w:rsidP="008D7017">
      <w:pPr>
        <w:pStyle w:val="Sangra3detindependiente"/>
        <w:ind w:left="0" w:firstLine="0"/>
        <w:rPr>
          <w:rFonts w:ascii="Arial" w:hAnsi="Arial" w:cs="Arial"/>
          <w:sz w:val="20"/>
          <w:lang w:val="es-EC"/>
        </w:rPr>
      </w:pPr>
      <w:r w:rsidRPr="000D1A16">
        <w:rPr>
          <w:rFonts w:ascii="Arial" w:hAnsi="Arial" w:cs="Arial"/>
          <w:sz w:val="20"/>
        </w:rPr>
        <w:t>Las transacciones con partes relacio</w:t>
      </w:r>
      <w:r w:rsidR="00B11D6C" w:rsidRPr="000D1A16">
        <w:rPr>
          <w:rFonts w:ascii="Arial" w:hAnsi="Arial" w:cs="Arial"/>
          <w:sz w:val="20"/>
        </w:rPr>
        <w:t xml:space="preserve">nadas al </w:t>
      </w:r>
      <w:r w:rsidR="005671EC">
        <w:rPr>
          <w:rFonts w:ascii="Arial" w:hAnsi="Arial" w:cs="Arial"/>
          <w:sz w:val="20"/>
        </w:rPr>
        <w:t>31 de diciembre del 2021 y 2020</w:t>
      </w:r>
      <w:r w:rsidRPr="000D1A16">
        <w:rPr>
          <w:rFonts w:ascii="Arial" w:hAnsi="Arial" w:cs="Arial"/>
          <w:sz w:val="20"/>
        </w:rPr>
        <w:t xml:space="preserve"> originaron los siguientes saldos en el estado de resultados y son como sigue:</w:t>
      </w:r>
    </w:p>
    <w:p w:rsidR="008C465A" w:rsidRPr="000D1A16" w:rsidRDefault="008C465A" w:rsidP="00794300">
      <w:pPr>
        <w:pStyle w:val="Sangra3detindependiente"/>
        <w:ind w:left="0" w:firstLine="0"/>
        <w:rPr>
          <w:rFonts w:ascii="Arial" w:hAnsi="Arial" w:cs="Arial"/>
          <w:sz w:val="20"/>
          <w:highlight w:val="yellow"/>
          <w:lang w:val="es-EC"/>
        </w:rPr>
      </w:pPr>
    </w:p>
    <w:p w:rsidR="00794300" w:rsidRPr="000D1A16" w:rsidRDefault="00794300" w:rsidP="00794300">
      <w:pPr>
        <w:tabs>
          <w:tab w:val="left" w:pos="-720"/>
          <w:tab w:val="left" w:pos="567"/>
        </w:tabs>
        <w:suppressAutoHyphens/>
        <w:ind w:left="567" w:hanging="567"/>
        <w:jc w:val="both"/>
        <w:rPr>
          <w:rFonts w:ascii="Arial" w:hAnsi="Arial" w:cs="Arial"/>
          <w:b/>
          <w:sz w:val="20"/>
          <w:szCs w:val="20"/>
        </w:rPr>
      </w:pPr>
      <w:r w:rsidRPr="000D1A16">
        <w:rPr>
          <w:rFonts w:ascii="Arial" w:hAnsi="Arial" w:cs="Arial"/>
          <w:b/>
          <w:sz w:val="20"/>
          <w:szCs w:val="20"/>
        </w:rPr>
        <w:t>a)</w:t>
      </w:r>
      <w:r w:rsidRPr="000D1A16">
        <w:rPr>
          <w:rFonts w:ascii="Arial" w:hAnsi="Arial" w:cs="Arial"/>
          <w:b/>
          <w:sz w:val="20"/>
          <w:szCs w:val="20"/>
        </w:rPr>
        <w:tab/>
        <w:t>Saldos por cobrar y pagar</w:t>
      </w:r>
    </w:p>
    <w:p w:rsidR="00794300" w:rsidRPr="000D1A16" w:rsidRDefault="00794300" w:rsidP="00794300">
      <w:pPr>
        <w:tabs>
          <w:tab w:val="left" w:pos="-720"/>
          <w:tab w:val="left" w:pos="567"/>
        </w:tabs>
        <w:suppressAutoHyphens/>
        <w:ind w:left="567" w:hanging="567"/>
        <w:jc w:val="both"/>
        <w:rPr>
          <w:rFonts w:ascii="Arial" w:hAnsi="Arial" w:cs="Arial"/>
          <w:sz w:val="20"/>
          <w:szCs w:val="20"/>
        </w:rPr>
      </w:pPr>
    </w:p>
    <w:p w:rsidR="00794300" w:rsidRPr="000D1A16" w:rsidRDefault="00794300" w:rsidP="000254A5">
      <w:pPr>
        <w:tabs>
          <w:tab w:val="left" w:pos="-720"/>
          <w:tab w:val="left" w:pos="567"/>
        </w:tabs>
        <w:suppressAutoHyphens/>
        <w:spacing w:after="80"/>
        <w:ind w:left="567"/>
        <w:jc w:val="both"/>
        <w:rPr>
          <w:rFonts w:ascii="Arial" w:hAnsi="Arial" w:cs="Arial"/>
          <w:sz w:val="20"/>
          <w:szCs w:val="20"/>
        </w:rPr>
      </w:pPr>
      <w:r w:rsidRPr="000D1A16">
        <w:rPr>
          <w:rFonts w:ascii="Arial" w:hAnsi="Arial" w:cs="Arial"/>
          <w:sz w:val="20"/>
          <w:szCs w:val="20"/>
        </w:rPr>
        <w:t>Un detalle de los s</w:t>
      </w:r>
      <w:r w:rsidR="00B11D6C" w:rsidRPr="000D1A16">
        <w:rPr>
          <w:rFonts w:ascii="Arial" w:hAnsi="Arial" w:cs="Arial"/>
          <w:sz w:val="20"/>
          <w:szCs w:val="20"/>
        </w:rPr>
        <w:t xml:space="preserve">aldos al </w:t>
      </w:r>
      <w:r w:rsidR="009E69E1">
        <w:rPr>
          <w:rFonts w:ascii="Arial" w:hAnsi="Arial" w:cs="Arial"/>
          <w:sz w:val="20"/>
          <w:szCs w:val="20"/>
        </w:rPr>
        <w:t>31</w:t>
      </w:r>
      <w:r w:rsidR="005671EC">
        <w:rPr>
          <w:rFonts w:ascii="Arial" w:hAnsi="Arial" w:cs="Arial"/>
          <w:sz w:val="20"/>
          <w:szCs w:val="20"/>
        </w:rPr>
        <w:t xml:space="preserve"> de diciembre del 2021 y 2020</w:t>
      </w:r>
      <w:r w:rsidRPr="000D1A16">
        <w:rPr>
          <w:rFonts w:ascii="Arial" w:hAnsi="Arial" w:cs="Arial"/>
          <w:sz w:val="20"/>
          <w:szCs w:val="20"/>
        </w:rPr>
        <w:t xml:space="preserve"> con partes relacionadas de las transacciones antes mencionadas son como sigue:</w:t>
      </w:r>
    </w:p>
    <w:bookmarkStart w:id="52" w:name="_MON_1551085166"/>
    <w:bookmarkEnd w:id="52"/>
    <w:p w:rsidR="00C51B5A" w:rsidRPr="000D1A16" w:rsidRDefault="00AB255F" w:rsidP="009A1DBB">
      <w:pPr>
        <w:tabs>
          <w:tab w:val="left" w:pos="-720"/>
          <w:tab w:val="left" w:pos="567"/>
        </w:tabs>
        <w:suppressAutoHyphens/>
        <w:ind w:left="567"/>
        <w:jc w:val="both"/>
        <w:rPr>
          <w:rFonts w:ascii="Arial" w:hAnsi="Arial" w:cs="Arial"/>
          <w:sz w:val="20"/>
          <w:szCs w:val="20"/>
        </w:rPr>
      </w:pPr>
      <w:r>
        <w:rPr>
          <w:rFonts w:ascii="Arial" w:hAnsi="Arial" w:cs="Arial"/>
          <w:sz w:val="20"/>
          <w:szCs w:val="20"/>
        </w:rPr>
        <w:object w:dxaOrig="11754" w:dyaOrig="2527">
          <v:shape id="_x0000_i1032" type="#_x0000_t75" style="width:424.2pt;height:110.4pt" o:ole="">
            <v:imagedata r:id="rId24" o:title=""/>
          </v:shape>
          <o:OLEObject Type="Embed" ProgID="Excel.Sheet.12" ShapeID="_x0000_i1032" DrawAspect="Content" ObjectID="_1713338929" r:id="rId25"/>
        </w:object>
      </w:r>
      <w:r w:rsidR="00DB4125" w:rsidRPr="000D1A16">
        <w:rPr>
          <w:rFonts w:ascii="Arial" w:hAnsi="Arial" w:cs="Arial"/>
          <w:sz w:val="20"/>
          <w:szCs w:val="20"/>
        </w:rPr>
        <w:t>Las cuentas por cobrar y por pagar corrientes a partes relacionadas</w:t>
      </w:r>
      <w:r w:rsidR="000A786F">
        <w:rPr>
          <w:rFonts w:ascii="Arial" w:hAnsi="Arial" w:cs="Arial"/>
          <w:sz w:val="20"/>
          <w:szCs w:val="20"/>
        </w:rPr>
        <w:t xml:space="preserve"> son comerciales y</w:t>
      </w:r>
      <w:r w:rsidR="00DB4125" w:rsidRPr="000D1A16">
        <w:rPr>
          <w:rFonts w:ascii="Arial" w:hAnsi="Arial" w:cs="Arial"/>
          <w:sz w:val="20"/>
          <w:szCs w:val="20"/>
        </w:rPr>
        <w:t xml:space="preserve"> tienen vencimientos corrientes y no devengan ni causan intereses.</w:t>
      </w:r>
    </w:p>
    <w:p w:rsidR="00DE5D79" w:rsidRDefault="00DE5D79" w:rsidP="000A786F">
      <w:pPr>
        <w:tabs>
          <w:tab w:val="left" w:pos="-720"/>
          <w:tab w:val="left" w:pos="1134"/>
        </w:tabs>
        <w:suppressAutoHyphens/>
        <w:rPr>
          <w:rFonts w:ascii="Arial" w:hAnsi="Arial" w:cs="Arial"/>
          <w:sz w:val="20"/>
          <w:szCs w:val="20"/>
        </w:rPr>
      </w:pPr>
    </w:p>
    <w:p w:rsidR="00DE5D79" w:rsidRPr="005B3498" w:rsidRDefault="00DE5D79" w:rsidP="00161D0E">
      <w:pPr>
        <w:pStyle w:val="Prrafodelista"/>
        <w:numPr>
          <w:ilvl w:val="0"/>
          <w:numId w:val="6"/>
        </w:numPr>
        <w:tabs>
          <w:tab w:val="left" w:pos="-720"/>
          <w:tab w:val="left" w:pos="1134"/>
        </w:tabs>
        <w:suppressAutoHyphens/>
        <w:spacing w:before="0" w:after="0"/>
        <w:ind w:left="1134" w:hanging="567"/>
        <w:rPr>
          <w:rFonts w:ascii="Arial" w:hAnsi="Arial" w:cs="Arial"/>
          <w:color w:val="000000" w:themeColor="text1"/>
          <w:sz w:val="20"/>
          <w:szCs w:val="20"/>
        </w:rPr>
      </w:pPr>
      <w:r w:rsidRPr="005B3498">
        <w:rPr>
          <w:rFonts w:ascii="Arial" w:hAnsi="Arial" w:cs="Arial"/>
          <w:color w:val="000000" w:themeColor="text1"/>
          <w:sz w:val="20"/>
          <w:szCs w:val="20"/>
        </w:rPr>
        <w:t>Los préstamos por pagar a partes relacionadas corresponden a pagarés y a contratos de  mutuo, que causan intereses a tasas entre 8% y 11% anual y convienen un plazo de entre 90 y 365 días para el pago de dicha obligación, si el acreedor no notifica a la Compañía el retiro del efectivo en los 15 días previos al vencimiento, los préstamos se renuevan por igual plazo con capitalización de los intereses.</w:t>
      </w:r>
      <w:r w:rsidR="00CA1F7B">
        <w:rPr>
          <w:rFonts w:ascii="Arial" w:hAnsi="Arial" w:cs="Arial"/>
          <w:color w:val="000000" w:themeColor="text1"/>
          <w:sz w:val="20"/>
          <w:szCs w:val="20"/>
        </w:rPr>
        <w:t xml:space="preserve"> Al 31 de diciembre del 2021 y 2020</w:t>
      </w:r>
      <w:r w:rsidR="007750AF">
        <w:rPr>
          <w:rFonts w:ascii="Arial" w:hAnsi="Arial" w:cs="Arial"/>
          <w:color w:val="000000" w:themeColor="text1"/>
          <w:sz w:val="20"/>
          <w:szCs w:val="20"/>
        </w:rPr>
        <w:t xml:space="preserve"> no</w:t>
      </w:r>
      <w:r w:rsidR="009E69E1">
        <w:rPr>
          <w:rFonts w:ascii="Arial" w:hAnsi="Arial" w:cs="Arial"/>
          <w:color w:val="000000" w:themeColor="text1"/>
          <w:sz w:val="20"/>
          <w:szCs w:val="20"/>
        </w:rPr>
        <w:t xml:space="preserve"> s</w:t>
      </w:r>
      <w:r w:rsidR="007750AF">
        <w:rPr>
          <w:rFonts w:ascii="Arial" w:hAnsi="Arial" w:cs="Arial"/>
          <w:color w:val="000000" w:themeColor="text1"/>
          <w:sz w:val="20"/>
          <w:szCs w:val="20"/>
        </w:rPr>
        <w:t>e ha cumplido con las obligaciones mencionadas</w:t>
      </w:r>
      <w:r w:rsidR="00AB255F">
        <w:rPr>
          <w:rFonts w:ascii="Arial" w:hAnsi="Arial" w:cs="Arial"/>
          <w:color w:val="000000" w:themeColor="text1"/>
          <w:sz w:val="20"/>
          <w:szCs w:val="20"/>
        </w:rPr>
        <w:t>.</w:t>
      </w:r>
    </w:p>
    <w:p w:rsidR="00DE5D79" w:rsidRPr="000A786F" w:rsidRDefault="00DE5D79" w:rsidP="000A786F">
      <w:pPr>
        <w:tabs>
          <w:tab w:val="left" w:pos="-720"/>
          <w:tab w:val="left" w:pos="1134"/>
        </w:tabs>
        <w:suppressAutoHyphens/>
        <w:rPr>
          <w:rFonts w:ascii="Arial" w:hAnsi="Arial" w:cs="Arial"/>
          <w:sz w:val="20"/>
          <w:szCs w:val="20"/>
        </w:rPr>
      </w:pPr>
    </w:p>
    <w:p w:rsidR="00395DBA" w:rsidRPr="000D1A16" w:rsidRDefault="00AB255F" w:rsidP="008D7017">
      <w:pPr>
        <w:tabs>
          <w:tab w:val="left" w:pos="-720"/>
        </w:tabs>
        <w:suppressAutoHyphens/>
        <w:jc w:val="both"/>
        <w:rPr>
          <w:rFonts w:ascii="Arial" w:hAnsi="Arial" w:cs="Arial"/>
          <w:b/>
          <w:spacing w:val="-3"/>
          <w:sz w:val="20"/>
          <w:szCs w:val="20"/>
        </w:rPr>
      </w:pPr>
      <w:bookmarkStart w:id="53" w:name="_MON_1552477502"/>
      <w:bookmarkStart w:id="54" w:name="_MON_1552716932"/>
      <w:bookmarkStart w:id="55" w:name="_MON_1391852463"/>
      <w:bookmarkStart w:id="56" w:name="_MON_1456778536"/>
      <w:bookmarkStart w:id="57" w:name="_MON_1391349998"/>
      <w:bookmarkStart w:id="58" w:name="_MON_1391350021"/>
      <w:bookmarkStart w:id="59" w:name="_MON_1391532438"/>
      <w:bookmarkEnd w:id="53"/>
      <w:bookmarkEnd w:id="54"/>
      <w:bookmarkEnd w:id="55"/>
      <w:bookmarkEnd w:id="56"/>
      <w:bookmarkEnd w:id="57"/>
      <w:bookmarkEnd w:id="58"/>
      <w:bookmarkEnd w:id="59"/>
      <w:r>
        <w:rPr>
          <w:rFonts w:ascii="Arial" w:hAnsi="Arial" w:cs="Arial"/>
          <w:b/>
          <w:spacing w:val="-3"/>
          <w:sz w:val="20"/>
          <w:szCs w:val="20"/>
        </w:rPr>
        <w:t>NOTA 15</w:t>
      </w:r>
      <w:r w:rsidR="00395DBA" w:rsidRPr="000D1A16">
        <w:rPr>
          <w:rFonts w:ascii="Arial" w:hAnsi="Arial" w:cs="Arial"/>
          <w:b/>
          <w:spacing w:val="-3"/>
          <w:sz w:val="20"/>
          <w:szCs w:val="20"/>
        </w:rPr>
        <w:t xml:space="preserve"> - EVENTOS SUBSECUENTES</w:t>
      </w:r>
    </w:p>
    <w:p w:rsidR="00395DBA" w:rsidRPr="000D1A16" w:rsidRDefault="00395DBA" w:rsidP="008D7017">
      <w:pPr>
        <w:tabs>
          <w:tab w:val="left" w:pos="-720"/>
        </w:tabs>
        <w:suppressAutoHyphens/>
        <w:jc w:val="both"/>
        <w:rPr>
          <w:rFonts w:ascii="Arial" w:hAnsi="Arial" w:cs="Arial"/>
          <w:spacing w:val="-3"/>
          <w:sz w:val="20"/>
          <w:szCs w:val="20"/>
          <w:highlight w:val="yellow"/>
        </w:rPr>
      </w:pPr>
    </w:p>
    <w:p w:rsidR="00D577F7" w:rsidRPr="000D1A16" w:rsidRDefault="000B0BA6" w:rsidP="008D7017">
      <w:pPr>
        <w:ind w:right="-6"/>
        <w:jc w:val="both"/>
        <w:rPr>
          <w:rFonts w:ascii="Arial" w:hAnsi="Arial" w:cs="Arial"/>
          <w:sz w:val="20"/>
          <w:szCs w:val="20"/>
        </w:rPr>
      </w:pPr>
      <w:r w:rsidRPr="000D1A16">
        <w:rPr>
          <w:rFonts w:ascii="Arial" w:hAnsi="Arial" w:cs="Arial"/>
          <w:sz w:val="20"/>
          <w:szCs w:val="20"/>
        </w:rPr>
        <w:t>Entre el 31</w:t>
      </w:r>
      <w:r w:rsidR="000E1D9E" w:rsidRPr="000D1A16">
        <w:rPr>
          <w:rFonts w:ascii="Arial" w:hAnsi="Arial" w:cs="Arial"/>
          <w:sz w:val="20"/>
          <w:szCs w:val="20"/>
        </w:rPr>
        <w:t xml:space="preserve"> de </w:t>
      </w:r>
      <w:r w:rsidRPr="000D1A16">
        <w:rPr>
          <w:rFonts w:ascii="Arial" w:hAnsi="Arial" w:cs="Arial"/>
          <w:sz w:val="20"/>
          <w:szCs w:val="20"/>
        </w:rPr>
        <w:t>diciembre</w:t>
      </w:r>
      <w:r w:rsidR="00A11058" w:rsidRPr="000D1A16">
        <w:rPr>
          <w:rFonts w:ascii="Arial" w:hAnsi="Arial" w:cs="Arial"/>
          <w:sz w:val="20"/>
          <w:szCs w:val="20"/>
        </w:rPr>
        <w:t xml:space="preserve"> de</w:t>
      </w:r>
      <w:r w:rsidRPr="000D1A16">
        <w:rPr>
          <w:rFonts w:ascii="Arial" w:hAnsi="Arial" w:cs="Arial"/>
          <w:sz w:val="20"/>
          <w:szCs w:val="20"/>
        </w:rPr>
        <w:t>l</w:t>
      </w:r>
      <w:r w:rsidR="00B93367">
        <w:rPr>
          <w:rFonts w:ascii="Arial" w:hAnsi="Arial" w:cs="Arial"/>
          <w:sz w:val="20"/>
          <w:szCs w:val="20"/>
        </w:rPr>
        <w:t xml:space="preserve"> 2021</w:t>
      </w:r>
      <w:r w:rsidR="000E1D9E" w:rsidRPr="000D1A16">
        <w:rPr>
          <w:rFonts w:ascii="Arial" w:hAnsi="Arial" w:cs="Arial"/>
          <w:sz w:val="20"/>
          <w:szCs w:val="20"/>
        </w:rPr>
        <w:t xml:space="preserve"> y la fecha de emisión </w:t>
      </w:r>
      <w:r w:rsidR="00FE5BBF" w:rsidRPr="000D1A16">
        <w:rPr>
          <w:rFonts w:ascii="Arial" w:hAnsi="Arial" w:cs="Arial"/>
          <w:sz w:val="20"/>
          <w:szCs w:val="20"/>
        </w:rPr>
        <w:t>de estos est</w:t>
      </w:r>
      <w:r w:rsidR="007141AF" w:rsidRPr="000D1A16">
        <w:rPr>
          <w:rFonts w:ascii="Arial" w:hAnsi="Arial" w:cs="Arial"/>
          <w:sz w:val="20"/>
          <w:szCs w:val="20"/>
        </w:rPr>
        <w:t xml:space="preserve">ados financieros, </w:t>
      </w:r>
      <w:r w:rsidR="00B93367">
        <w:rPr>
          <w:rFonts w:ascii="Arial" w:hAnsi="Arial" w:cs="Arial"/>
          <w:sz w:val="20"/>
          <w:szCs w:val="20"/>
        </w:rPr>
        <w:t>15</w:t>
      </w:r>
      <w:r w:rsidR="000E1D9E" w:rsidRPr="000D1A16">
        <w:rPr>
          <w:rFonts w:ascii="Arial" w:hAnsi="Arial" w:cs="Arial"/>
          <w:sz w:val="20"/>
          <w:szCs w:val="20"/>
        </w:rPr>
        <w:t xml:space="preserve"> de </w:t>
      </w:r>
      <w:r w:rsidR="00B93367">
        <w:rPr>
          <w:rFonts w:ascii="Arial" w:hAnsi="Arial" w:cs="Arial"/>
          <w:sz w:val="20"/>
          <w:szCs w:val="20"/>
        </w:rPr>
        <w:t>marzo</w:t>
      </w:r>
      <w:r w:rsidR="000E1D9E" w:rsidRPr="000D1A16">
        <w:rPr>
          <w:rFonts w:ascii="Arial" w:hAnsi="Arial" w:cs="Arial"/>
          <w:sz w:val="20"/>
          <w:szCs w:val="20"/>
        </w:rPr>
        <w:t xml:space="preserve"> de</w:t>
      </w:r>
      <w:r w:rsidR="007141AF" w:rsidRPr="000D1A16">
        <w:rPr>
          <w:rFonts w:ascii="Arial" w:hAnsi="Arial" w:cs="Arial"/>
          <w:sz w:val="20"/>
          <w:szCs w:val="20"/>
        </w:rPr>
        <w:t>l</w:t>
      </w:r>
      <w:r w:rsidR="00B93367">
        <w:rPr>
          <w:rFonts w:ascii="Arial" w:hAnsi="Arial" w:cs="Arial"/>
          <w:sz w:val="20"/>
          <w:szCs w:val="20"/>
        </w:rPr>
        <w:t xml:space="preserve"> 2022</w:t>
      </w:r>
      <w:r w:rsidR="000E1D9E" w:rsidRPr="000D1A16">
        <w:rPr>
          <w:rFonts w:ascii="Arial" w:hAnsi="Arial" w:cs="Arial"/>
          <w:sz w:val="20"/>
          <w:szCs w:val="20"/>
        </w:rPr>
        <w:t>. No se produjeron eventos que, en la opinión de la Administración de la Compañía, pudieran tener un efecto significativo sobre dichos estados financieros que no se hayan revelado en los mismos o en sus notas</w:t>
      </w:r>
      <w:r w:rsidR="00846A12">
        <w:rPr>
          <w:rFonts w:ascii="Arial" w:hAnsi="Arial" w:cs="Arial"/>
          <w:sz w:val="20"/>
          <w:szCs w:val="20"/>
        </w:rPr>
        <w:t>.</w:t>
      </w:r>
    </w:p>
    <w:p w:rsidR="009A6CB7" w:rsidRDefault="009A6CB7" w:rsidP="00F44A02">
      <w:pPr>
        <w:tabs>
          <w:tab w:val="left" w:pos="6780"/>
        </w:tabs>
        <w:ind w:right="-6"/>
        <w:jc w:val="both"/>
        <w:rPr>
          <w:rFonts w:ascii="Arial" w:hAnsi="Arial" w:cs="Arial"/>
          <w:sz w:val="20"/>
          <w:szCs w:val="20"/>
        </w:rPr>
      </w:pPr>
    </w:p>
    <w:p w:rsidR="00846A12" w:rsidRDefault="00846A12" w:rsidP="00F44A02">
      <w:pPr>
        <w:tabs>
          <w:tab w:val="left" w:pos="6780"/>
        </w:tabs>
        <w:ind w:right="-6"/>
        <w:jc w:val="both"/>
        <w:rPr>
          <w:rFonts w:ascii="Arial" w:hAnsi="Arial" w:cs="Arial"/>
          <w:sz w:val="20"/>
          <w:szCs w:val="20"/>
        </w:rPr>
      </w:pPr>
    </w:p>
    <w:p w:rsidR="00034AEF" w:rsidRPr="000D1A16" w:rsidRDefault="00F44A02" w:rsidP="00F44A02">
      <w:pPr>
        <w:tabs>
          <w:tab w:val="left" w:pos="6780"/>
        </w:tabs>
        <w:ind w:right="-6"/>
        <w:jc w:val="both"/>
        <w:rPr>
          <w:rFonts w:ascii="Arial" w:hAnsi="Arial" w:cs="Arial"/>
          <w:sz w:val="20"/>
          <w:szCs w:val="20"/>
        </w:rPr>
      </w:pPr>
      <w:r>
        <w:rPr>
          <w:rFonts w:ascii="Arial" w:hAnsi="Arial" w:cs="Arial"/>
          <w:sz w:val="20"/>
          <w:szCs w:val="20"/>
        </w:rPr>
        <w:tab/>
      </w:r>
    </w:p>
    <w:p w:rsidR="00034AEF" w:rsidRDefault="00034AEF" w:rsidP="008D7017">
      <w:pPr>
        <w:ind w:right="-6"/>
        <w:jc w:val="both"/>
        <w:rPr>
          <w:rFonts w:ascii="Arial" w:hAnsi="Arial" w:cs="Arial"/>
          <w:sz w:val="20"/>
          <w:szCs w:val="20"/>
        </w:rPr>
      </w:pPr>
    </w:p>
    <w:p w:rsidR="00846A12" w:rsidRPr="000D1A16" w:rsidRDefault="00846A12" w:rsidP="008D7017">
      <w:pPr>
        <w:ind w:right="-6"/>
        <w:jc w:val="both"/>
        <w:rPr>
          <w:rFonts w:ascii="Arial" w:hAnsi="Arial" w:cs="Arial"/>
          <w:sz w:val="20"/>
          <w:szCs w:val="20"/>
        </w:rPr>
      </w:pPr>
    </w:p>
    <w:tbl>
      <w:tblPr>
        <w:tblpPr w:leftFromText="141" w:rightFromText="141" w:vertAnchor="text" w:horzAnchor="page" w:tblpXSpec="center" w:tblpY="151"/>
        <w:tblW w:w="5863" w:type="dxa"/>
        <w:tblLayout w:type="fixed"/>
        <w:tblCellMar>
          <w:left w:w="70" w:type="dxa"/>
          <w:right w:w="70" w:type="dxa"/>
        </w:tblCellMar>
        <w:tblLook w:val="0000" w:firstRow="0" w:lastRow="0" w:firstColumn="0" w:lastColumn="0" w:noHBand="0" w:noVBand="0"/>
      </w:tblPr>
      <w:tblGrid>
        <w:gridCol w:w="2407"/>
        <w:gridCol w:w="567"/>
        <w:gridCol w:w="321"/>
        <w:gridCol w:w="2568"/>
      </w:tblGrid>
      <w:tr w:rsidR="00BC2FE8" w:rsidRPr="000D1A16" w:rsidTr="00BC2FE8">
        <w:trPr>
          <w:trHeight w:val="229"/>
        </w:trPr>
        <w:tc>
          <w:tcPr>
            <w:tcW w:w="2407" w:type="dxa"/>
            <w:tcBorders>
              <w:bottom w:val="single" w:sz="6" w:space="0" w:color="auto"/>
            </w:tcBorders>
          </w:tcPr>
          <w:p w:rsidR="00BC2FE8" w:rsidRPr="000D1A16" w:rsidRDefault="00BC2FE8" w:rsidP="00AE4681">
            <w:pPr>
              <w:ind w:right="196"/>
              <w:rPr>
                <w:rFonts w:ascii="Arial" w:hAnsi="Arial" w:cs="Arial"/>
                <w:spacing w:val="-2"/>
                <w:sz w:val="20"/>
              </w:rPr>
            </w:pPr>
          </w:p>
        </w:tc>
        <w:tc>
          <w:tcPr>
            <w:tcW w:w="567" w:type="dxa"/>
          </w:tcPr>
          <w:p w:rsidR="00BC2FE8" w:rsidRPr="000D1A16" w:rsidRDefault="00BC2FE8" w:rsidP="00AE4681">
            <w:pPr>
              <w:ind w:right="196"/>
              <w:rPr>
                <w:rFonts w:ascii="Arial" w:hAnsi="Arial" w:cs="Arial"/>
                <w:spacing w:val="-2"/>
                <w:sz w:val="20"/>
              </w:rPr>
            </w:pPr>
          </w:p>
        </w:tc>
        <w:tc>
          <w:tcPr>
            <w:tcW w:w="321" w:type="dxa"/>
          </w:tcPr>
          <w:p w:rsidR="00BC2FE8" w:rsidRPr="000D1A16" w:rsidRDefault="00BC2FE8" w:rsidP="00AE4681">
            <w:pPr>
              <w:ind w:right="196"/>
              <w:rPr>
                <w:rFonts w:ascii="Arial" w:hAnsi="Arial" w:cs="Arial"/>
                <w:spacing w:val="-2"/>
                <w:sz w:val="20"/>
              </w:rPr>
            </w:pPr>
          </w:p>
        </w:tc>
        <w:tc>
          <w:tcPr>
            <w:tcW w:w="2568" w:type="dxa"/>
            <w:tcBorders>
              <w:bottom w:val="single" w:sz="6" w:space="0" w:color="auto"/>
            </w:tcBorders>
          </w:tcPr>
          <w:p w:rsidR="00BC2FE8" w:rsidRPr="000D1A16" w:rsidRDefault="00BC2FE8" w:rsidP="00AE4681">
            <w:pPr>
              <w:ind w:right="196"/>
              <w:rPr>
                <w:rFonts w:ascii="Arial" w:hAnsi="Arial" w:cs="Arial"/>
                <w:spacing w:val="-2"/>
                <w:sz w:val="20"/>
              </w:rPr>
            </w:pPr>
          </w:p>
        </w:tc>
      </w:tr>
      <w:tr w:rsidR="00BC2FE8" w:rsidRPr="000D1A16" w:rsidTr="00BC2FE8">
        <w:trPr>
          <w:trHeight w:val="307"/>
        </w:trPr>
        <w:tc>
          <w:tcPr>
            <w:tcW w:w="2407" w:type="dxa"/>
          </w:tcPr>
          <w:p w:rsidR="00BC2FE8" w:rsidRPr="000D1A16" w:rsidRDefault="00AB255F" w:rsidP="00AE4681">
            <w:pPr>
              <w:ind w:right="196"/>
              <w:jc w:val="center"/>
              <w:rPr>
                <w:rFonts w:ascii="Arial" w:hAnsi="Arial" w:cs="Arial"/>
                <w:spacing w:val="-2"/>
                <w:sz w:val="20"/>
                <w:lang w:val="de-DE"/>
              </w:rPr>
            </w:pPr>
            <w:r>
              <w:rPr>
                <w:rFonts w:ascii="Arial" w:hAnsi="Arial" w:cs="Arial"/>
                <w:spacing w:val="-2"/>
                <w:sz w:val="20"/>
                <w:lang w:val="de-DE"/>
              </w:rPr>
              <w:t>Jorge Lino</w:t>
            </w:r>
          </w:p>
          <w:p w:rsidR="00BC2FE8" w:rsidRPr="000D1A16" w:rsidRDefault="00BC2FE8" w:rsidP="00AE4681">
            <w:pPr>
              <w:ind w:right="196"/>
              <w:jc w:val="center"/>
              <w:rPr>
                <w:rFonts w:ascii="Arial" w:hAnsi="Arial" w:cs="Arial"/>
                <w:spacing w:val="-2"/>
                <w:sz w:val="20"/>
                <w:lang w:val="de-DE"/>
              </w:rPr>
            </w:pPr>
            <w:r w:rsidRPr="000D1A16">
              <w:rPr>
                <w:rFonts w:ascii="Arial" w:hAnsi="Arial" w:cs="Arial"/>
                <w:spacing w:val="-2"/>
                <w:sz w:val="20"/>
                <w:lang w:val="de-DE"/>
              </w:rPr>
              <w:t>Gerente General</w:t>
            </w:r>
          </w:p>
        </w:tc>
        <w:tc>
          <w:tcPr>
            <w:tcW w:w="567" w:type="dxa"/>
          </w:tcPr>
          <w:p w:rsidR="00BC2FE8" w:rsidRPr="000D1A16" w:rsidRDefault="00BC2FE8" w:rsidP="00AE4681">
            <w:pPr>
              <w:ind w:right="196"/>
              <w:jc w:val="center"/>
              <w:rPr>
                <w:rFonts w:ascii="Arial" w:hAnsi="Arial" w:cs="Arial"/>
                <w:spacing w:val="-2"/>
                <w:sz w:val="20"/>
                <w:lang w:val="de-DE"/>
              </w:rPr>
            </w:pPr>
          </w:p>
        </w:tc>
        <w:tc>
          <w:tcPr>
            <w:tcW w:w="321" w:type="dxa"/>
          </w:tcPr>
          <w:p w:rsidR="00BC2FE8" w:rsidRPr="000D1A16" w:rsidRDefault="00BC2FE8" w:rsidP="00AE4681">
            <w:pPr>
              <w:ind w:right="196"/>
              <w:jc w:val="center"/>
              <w:rPr>
                <w:rFonts w:ascii="Arial" w:hAnsi="Arial" w:cs="Arial"/>
                <w:spacing w:val="-2"/>
                <w:sz w:val="20"/>
              </w:rPr>
            </w:pPr>
          </w:p>
        </w:tc>
        <w:tc>
          <w:tcPr>
            <w:tcW w:w="2568" w:type="dxa"/>
          </w:tcPr>
          <w:p w:rsidR="00BC2FE8" w:rsidRPr="000D1A16" w:rsidRDefault="00BC2FE8" w:rsidP="0096646B">
            <w:pPr>
              <w:ind w:right="196"/>
              <w:rPr>
                <w:rFonts w:ascii="Arial" w:hAnsi="Arial" w:cs="Arial"/>
                <w:spacing w:val="-2"/>
                <w:sz w:val="20"/>
                <w:lang w:val="de-DE"/>
              </w:rPr>
            </w:pPr>
            <w:r>
              <w:rPr>
                <w:rFonts w:ascii="Arial" w:hAnsi="Arial" w:cs="Arial"/>
                <w:spacing w:val="-2"/>
                <w:sz w:val="20"/>
                <w:lang w:val="de-DE"/>
              </w:rPr>
              <w:t xml:space="preserve">       </w:t>
            </w:r>
            <w:r w:rsidR="00AB255F">
              <w:rPr>
                <w:rFonts w:ascii="Arial" w:hAnsi="Arial" w:cs="Arial"/>
                <w:spacing w:val="-2"/>
                <w:sz w:val="20"/>
                <w:lang w:val="de-DE"/>
              </w:rPr>
              <w:t>Sonia Heredia</w:t>
            </w:r>
          </w:p>
          <w:p w:rsidR="00BC2FE8" w:rsidRPr="000D1A16" w:rsidRDefault="005F61FD" w:rsidP="00F44A02">
            <w:pPr>
              <w:ind w:right="196"/>
              <w:jc w:val="center"/>
              <w:rPr>
                <w:rFonts w:ascii="Arial" w:hAnsi="Arial" w:cs="Arial"/>
                <w:spacing w:val="-2"/>
                <w:sz w:val="20"/>
              </w:rPr>
            </w:pPr>
            <w:r>
              <w:rPr>
                <w:rFonts w:ascii="Arial" w:hAnsi="Arial" w:cs="Arial"/>
                <w:spacing w:val="-2"/>
                <w:sz w:val="20"/>
              </w:rPr>
              <w:t>Contador General</w:t>
            </w:r>
          </w:p>
        </w:tc>
      </w:tr>
    </w:tbl>
    <w:p w:rsidR="005559D1" w:rsidRDefault="005559D1" w:rsidP="009A6CB7">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5559D1" w:rsidRPr="005559D1" w:rsidRDefault="005559D1" w:rsidP="005559D1">
      <w:pPr>
        <w:rPr>
          <w:rFonts w:ascii="Arial" w:hAnsi="Arial" w:cs="Arial"/>
          <w:sz w:val="20"/>
          <w:szCs w:val="20"/>
        </w:rPr>
      </w:pPr>
    </w:p>
    <w:p w:rsidR="00B53CF9" w:rsidRPr="005559D1" w:rsidRDefault="00B53CF9" w:rsidP="005559D1">
      <w:pPr>
        <w:tabs>
          <w:tab w:val="left" w:pos="5580"/>
        </w:tabs>
        <w:rPr>
          <w:rFonts w:ascii="Arial" w:hAnsi="Arial" w:cs="Arial"/>
          <w:sz w:val="20"/>
          <w:szCs w:val="20"/>
        </w:rPr>
      </w:pPr>
    </w:p>
    <w:sectPr w:rsidR="00B53CF9" w:rsidRPr="005559D1" w:rsidSect="007F10C2">
      <w:headerReference w:type="even" r:id="rId26"/>
      <w:headerReference w:type="default" r:id="rId27"/>
      <w:footerReference w:type="default" r:id="rId28"/>
      <w:headerReference w:type="first" r:id="rId29"/>
      <w:pgSz w:w="11906" w:h="16838" w:code="9"/>
      <w:pgMar w:top="1985" w:right="1191" w:bottom="1191" w:left="1588" w:header="1701" w:footer="1134"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5345B" w:rsidRDefault="00F5345B" w:rsidP="00DE5BF4">
      <w:r>
        <w:separator/>
      </w:r>
    </w:p>
  </w:endnote>
  <w:endnote w:type="continuationSeparator" w:id="0">
    <w:p w:rsidR="00F5345B" w:rsidRDefault="00F5345B" w:rsidP="00DE5B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ZapfHumnst BT">
    <w:altName w:val="Lucida Sans Unicode"/>
    <w:charset w:val="00"/>
    <w:family w:val="swiss"/>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EYInterstate">
    <w:altName w:val="Corbel"/>
    <w:charset w:val="00"/>
    <w:family w:val="auto"/>
    <w:pitch w:val="variable"/>
    <w:sig w:usb0="A00002AF" w:usb1="5000206A"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Book Antiqua">
    <w:panose1 w:val="02040602050305030304"/>
    <w:charset w:val="00"/>
    <w:family w:val="roman"/>
    <w:pitch w:val="variable"/>
    <w:sig w:usb0="00000287" w:usb1="00000000" w:usb2="00000000" w:usb3="00000000" w:csb0="0000009F" w:csb1="00000000"/>
  </w:font>
  <w:font w:name="AngsanaUPC">
    <w:charset w:val="00"/>
    <w:family w:val="roman"/>
    <w:pitch w:val="variable"/>
    <w:sig w:usb0="81000003" w:usb1="00000000"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6392524"/>
      <w:docPartObj>
        <w:docPartGallery w:val="Page Numbers (Bottom of Page)"/>
        <w:docPartUnique/>
      </w:docPartObj>
    </w:sdtPr>
    <w:sdtEndPr>
      <w:rPr>
        <w:rFonts w:ascii="Arial" w:hAnsi="Arial" w:cs="Arial"/>
        <w:sz w:val="20"/>
        <w:szCs w:val="20"/>
      </w:rPr>
    </w:sdtEndPr>
    <w:sdtContent>
      <w:p w:rsidR="00AD2854" w:rsidRPr="002658CC" w:rsidRDefault="00AD2854">
        <w:pPr>
          <w:pStyle w:val="Piedepgina"/>
          <w:jc w:val="center"/>
          <w:rPr>
            <w:rFonts w:ascii="Arial" w:hAnsi="Arial" w:cs="Arial"/>
            <w:sz w:val="20"/>
            <w:szCs w:val="20"/>
          </w:rPr>
        </w:pPr>
        <w:r w:rsidRPr="002658CC">
          <w:rPr>
            <w:rFonts w:ascii="Arial" w:hAnsi="Arial" w:cs="Arial"/>
            <w:sz w:val="20"/>
            <w:szCs w:val="20"/>
          </w:rPr>
          <w:fldChar w:fldCharType="begin"/>
        </w:r>
        <w:r w:rsidRPr="002658CC">
          <w:rPr>
            <w:rFonts w:ascii="Arial" w:hAnsi="Arial" w:cs="Arial"/>
            <w:sz w:val="20"/>
            <w:szCs w:val="20"/>
          </w:rPr>
          <w:instrText>PAGE   \* MERGEFORMAT</w:instrText>
        </w:r>
        <w:r w:rsidRPr="002658CC">
          <w:rPr>
            <w:rFonts w:ascii="Arial" w:hAnsi="Arial" w:cs="Arial"/>
            <w:sz w:val="20"/>
            <w:szCs w:val="20"/>
          </w:rPr>
          <w:fldChar w:fldCharType="separate"/>
        </w:r>
        <w:r w:rsidR="007F10C2">
          <w:rPr>
            <w:rFonts w:ascii="Arial" w:hAnsi="Arial" w:cs="Arial"/>
            <w:noProof/>
            <w:sz w:val="20"/>
            <w:szCs w:val="20"/>
          </w:rPr>
          <w:t>18</w:t>
        </w:r>
        <w:r w:rsidRPr="002658CC">
          <w:rPr>
            <w:rFonts w:ascii="Arial" w:hAnsi="Arial" w:cs="Arial"/>
            <w:sz w:val="20"/>
            <w:szCs w:val="20"/>
          </w:rPr>
          <w:fldChar w:fldCharType="end"/>
        </w:r>
        <w:r w:rsidR="007F10C2">
          <w:rPr>
            <w:rFonts w:ascii="Arial" w:hAnsi="Arial" w:cs="Arial"/>
            <w:sz w:val="20"/>
            <w:szCs w:val="20"/>
          </w:rPr>
          <w:t xml:space="preserve"> de 19</w:t>
        </w:r>
      </w:p>
    </w:sdtContent>
  </w:sdt>
  <w:p w:rsidR="00AD2854" w:rsidRPr="004B16D0" w:rsidRDefault="00AD2854" w:rsidP="004B16D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5345B" w:rsidRDefault="00F5345B" w:rsidP="00DE5BF4">
      <w:r>
        <w:separator/>
      </w:r>
    </w:p>
  </w:footnote>
  <w:footnote w:type="continuationSeparator" w:id="0">
    <w:p w:rsidR="00F5345B" w:rsidRDefault="00F5345B" w:rsidP="00DE5B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2854" w:rsidRDefault="00AD2854">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6196704" o:spid="_x0000_s2050" type="#_x0000_t136" style="position:absolute;margin-left:0;margin-top:0;width:456.2pt;height:16pt;z-index:-251655168;mso-position-horizontal:center;mso-position-horizontal-relative:margin;mso-position-vertical:center;mso-position-vertical-relative:margin" o:allowincell="f" fillcolor="#c6d9f1 [671]" stroked="f">
          <v:fill opacity=".5"/>
          <v:textpath style="font-family:&quot;Arial&quot;;font-size:1pt" string="BORRADOR PARA USO INTERNO SUJETO A MODIFICACIONES"/>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2854" w:rsidRPr="00271A43" w:rsidRDefault="00AD2854" w:rsidP="00E9662A">
    <w:pPr>
      <w:rPr>
        <w:rFonts w:ascii="Arial" w:hAnsi="Arial" w:cs="Arial"/>
        <w:b/>
        <w:bCs/>
        <w:sz w:val="20"/>
        <w:szCs w:val="20"/>
      </w:rPr>
    </w:pPr>
    <w:r>
      <w:rPr>
        <w:rFonts w:ascii="Arial" w:hAnsi="Arial" w:cs="Arial"/>
        <w:b/>
        <w:bCs/>
        <w:sz w:val="20"/>
        <w:szCs w:val="20"/>
      </w:rPr>
      <w:t>BRITEL</w:t>
    </w:r>
    <w:r w:rsidRPr="00271A43">
      <w:rPr>
        <w:rFonts w:ascii="Arial" w:hAnsi="Arial" w:cs="Arial"/>
        <w:b/>
        <w:bCs/>
        <w:sz w:val="20"/>
        <w:szCs w:val="20"/>
      </w:rPr>
      <w:t xml:space="preserve"> S.A. </w:t>
    </w:r>
  </w:p>
  <w:p w:rsidR="00AD2854" w:rsidRPr="00271A43" w:rsidRDefault="00AD2854" w:rsidP="00E9662A">
    <w:pPr>
      <w:rPr>
        <w:rFonts w:ascii="Arial" w:hAnsi="Arial" w:cs="Arial"/>
        <w:b/>
        <w:bCs/>
        <w:sz w:val="20"/>
        <w:szCs w:val="20"/>
      </w:rPr>
    </w:pPr>
  </w:p>
  <w:p w:rsidR="00AD2854" w:rsidRPr="00271A43" w:rsidRDefault="00AD2854" w:rsidP="00E9662A">
    <w:pPr>
      <w:rPr>
        <w:rFonts w:ascii="Arial" w:hAnsi="Arial" w:cs="Arial"/>
        <w:b/>
        <w:bCs/>
        <w:sz w:val="20"/>
        <w:szCs w:val="20"/>
      </w:rPr>
    </w:pPr>
    <w:r w:rsidRPr="00271A43">
      <w:rPr>
        <w:rFonts w:ascii="Arial" w:hAnsi="Arial" w:cs="Arial"/>
        <w:b/>
        <w:bCs/>
        <w:sz w:val="20"/>
        <w:szCs w:val="20"/>
      </w:rPr>
      <w:t>Notas a los estados financieros</w:t>
    </w:r>
  </w:p>
  <w:p w:rsidR="00AD2854" w:rsidRPr="00E9662A" w:rsidRDefault="00AD2854" w:rsidP="00E9662A">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2854" w:rsidRDefault="00AD2854">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6196703" o:spid="_x0000_s2049" type="#_x0000_t136" style="position:absolute;margin-left:0;margin-top:0;width:456.2pt;height:16pt;z-index:-251657216;mso-position-horizontal:center;mso-position-horizontal-relative:margin;mso-position-vertical:center;mso-position-vertical-relative:margin" o:allowincell="f" fillcolor="#c6d9f1 [671]" stroked="f">
          <v:fill opacity=".5"/>
          <v:textpath style="font-family:&quot;Arial&quot;;font-size:1pt" string="BORRADOR PARA USO INTERNO SUJETO A MODIFICACIONES"/>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0B2396"/>
    <w:multiLevelType w:val="hybridMultilevel"/>
    <w:tmpl w:val="E496D74A"/>
    <w:lvl w:ilvl="0" w:tplc="300A0001">
      <w:start w:val="1"/>
      <w:numFmt w:val="bullet"/>
      <w:lvlText w:val=""/>
      <w:lvlJc w:val="left"/>
      <w:pPr>
        <w:ind w:left="1287" w:hanging="360"/>
      </w:pPr>
      <w:rPr>
        <w:rFonts w:ascii="Symbol" w:hAnsi="Symbo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1" w15:restartNumberingAfterBreak="0">
    <w:nsid w:val="028C67CA"/>
    <w:multiLevelType w:val="hybridMultilevel"/>
    <w:tmpl w:val="13F64A34"/>
    <w:lvl w:ilvl="0" w:tplc="DAB84EC2">
      <w:start w:val="5"/>
      <w:numFmt w:val="bullet"/>
      <w:lvlText w:val="-"/>
      <w:lvlJc w:val="left"/>
      <w:pPr>
        <w:ind w:left="1290" w:hanging="360"/>
      </w:pPr>
      <w:rPr>
        <w:rFonts w:ascii="Arial" w:eastAsia="Times New Roman" w:hAnsi="Arial" w:cs="Arial" w:hint="default"/>
      </w:rPr>
    </w:lvl>
    <w:lvl w:ilvl="1" w:tplc="300A0003">
      <w:start w:val="1"/>
      <w:numFmt w:val="bullet"/>
      <w:lvlText w:val="o"/>
      <w:lvlJc w:val="left"/>
      <w:pPr>
        <w:ind w:left="2010" w:hanging="360"/>
      </w:pPr>
      <w:rPr>
        <w:rFonts w:ascii="Courier New" w:hAnsi="Courier New" w:cs="Courier New" w:hint="default"/>
      </w:rPr>
    </w:lvl>
    <w:lvl w:ilvl="2" w:tplc="300A0005">
      <w:start w:val="1"/>
      <w:numFmt w:val="bullet"/>
      <w:lvlText w:val=""/>
      <w:lvlJc w:val="left"/>
      <w:pPr>
        <w:ind w:left="2730" w:hanging="360"/>
      </w:pPr>
      <w:rPr>
        <w:rFonts w:ascii="Wingdings" w:hAnsi="Wingdings" w:hint="default"/>
      </w:rPr>
    </w:lvl>
    <w:lvl w:ilvl="3" w:tplc="300A0001">
      <w:start w:val="1"/>
      <w:numFmt w:val="bullet"/>
      <w:lvlText w:val=""/>
      <w:lvlJc w:val="left"/>
      <w:pPr>
        <w:ind w:left="3450" w:hanging="360"/>
      </w:pPr>
      <w:rPr>
        <w:rFonts w:ascii="Symbol" w:hAnsi="Symbol" w:hint="default"/>
      </w:rPr>
    </w:lvl>
    <w:lvl w:ilvl="4" w:tplc="300A0003">
      <w:start w:val="1"/>
      <w:numFmt w:val="bullet"/>
      <w:lvlText w:val="o"/>
      <w:lvlJc w:val="left"/>
      <w:pPr>
        <w:ind w:left="4170" w:hanging="360"/>
      </w:pPr>
      <w:rPr>
        <w:rFonts w:ascii="Courier New" w:hAnsi="Courier New" w:cs="Courier New" w:hint="default"/>
      </w:rPr>
    </w:lvl>
    <w:lvl w:ilvl="5" w:tplc="300A0005">
      <w:start w:val="1"/>
      <w:numFmt w:val="bullet"/>
      <w:lvlText w:val=""/>
      <w:lvlJc w:val="left"/>
      <w:pPr>
        <w:ind w:left="4890" w:hanging="360"/>
      </w:pPr>
      <w:rPr>
        <w:rFonts w:ascii="Wingdings" w:hAnsi="Wingdings" w:hint="default"/>
      </w:rPr>
    </w:lvl>
    <w:lvl w:ilvl="6" w:tplc="300A0001">
      <w:start w:val="1"/>
      <w:numFmt w:val="bullet"/>
      <w:lvlText w:val=""/>
      <w:lvlJc w:val="left"/>
      <w:pPr>
        <w:ind w:left="5610" w:hanging="360"/>
      </w:pPr>
      <w:rPr>
        <w:rFonts w:ascii="Symbol" w:hAnsi="Symbol" w:hint="default"/>
      </w:rPr>
    </w:lvl>
    <w:lvl w:ilvl="7" w:tplc="300A0003">
      <w:start w:val="1"/>
      <w:numFmt w:val="bullet"/>
      <w:lvlText w:val="o"/>
      <w:lvlJc w:val="left"/>
      <w:pPr>
        <w:ind w:left="6330" w:hanging="360"/>
      </w:pPr>
      <w:rPr>
        <w:rFonts w:ascii="Courier New" w:hAnsi="Courier New" w:cs="Courier New" w:hint="default"/>
      </w:rPr>
    </w:lvl>
    <w:lvl w:ilvl="8" w:tplc="300A0005">
      <w:start w:val="1"/>
      <w:numFmt w:val="bullet"/>
      <w:lvlText w:val=""/>
      <w:lvlJc w:val="left"/>
      <w:pPr>
        <w:ind w:left="7050" w:hanging="360"/>
      </w:pPr>
      <w:rPr>
        <w:rFonts w:ascii="Wingdings" w:hAnsi="Wingdings" w:hint="default"/>
      </w:rPr>
    </w:lvl>
  </w:abstractNum>
  <w:abstractNum w:abstractNumId="2" w15:restartNumberingAfterBreak="0">
    <w:nsid w:val="03741D12"/>
    <w:multiLevelType w:val="hybridMultilevel"/>
    <w:tmpl w:val="31AABC04"/>
    <w:lvl w:ilvl="0" w:tplc="C060D8BC">
      <w:numFmt w:val="bullet"/>
      <w:lvlText w:val="-"/>
      <w:lvlJc w:val="left"/>
      <w:pPr>
        <w:ind w:left="1919" w:hanging="360"/>
      </w:pPr>
      <w:rPr>
        <w:rFonts w:ascii="Arial" w:eastAsia="Times New Roman" w:hAnsi="Arial" w:cs="Arial" w:hint="default"/>
      </w:rPr>
    </w:lvl>
    <w:lvl w:ilvl="1" w:tplc="300A0003" w:tentative="1">
      <w:start w:val="1"/>
      <w:numFmt w:val="bullet"/>
      <w:lvlText w:val="o"/>
      <w:lvlJc w:val="left"/>
      <w:pPr>
        <w:ind w:left="2639" w:hanging="360"/>
      </w:pPr>
      <w:rPr>
        <w:rFonts w:ascii="Courier New" w:hAnsi="Courier New" w:cs="Courier New" w:hint="default"/>
      </w:rPr>
    </w:lvl>
    <w:lvl w:ilvl="2" w:tplc="300A0005" w:tentative="1">
      <w:start w:val="1"/>
      <w:numFmt w:val="bullet"/>
      <w:lvlText w:val=""/>
      <w:lvlJc w:val="left"/>
      <w:pPr>
        <w:ind w:left="3359" w:hanging="360"/>
      </w:pPr>
      <w:rPr>
        <w:rFonts w:ascii="Wingdings" w:hAnsi="Wingdings" w:hint="default"/>
      </w:rPr>
    </w:lvl>
    <w:lvl w:ilvl="3" w:tplc="300A0001" w:tentative="1">
      <w:start w:val="1"/>
      <w:numFmt w:val="bullet"/>
      <w:lvlText w:val=""/>
      <w:lvlJc w:val="left"/>
      <w:pPr>
        <w:ind w:left="4079" w:hanging="360"/>
      </w:pPr>
      <w:rPr>
        <w:rFonts w:ascii="Symbol" w:hAnsi="Symbol" w:hint="default"/>
      </w:rPr>
    </w:lvl>
    <w:lvl w:ilvl="4" w:tplc="300A0003" w:tentative="1">
      <w:start w:val="1"/>
      <w:numFmt w:val="bullet"/>
      <w:lvlText w:val="o"/>
      <w:lvlJc w:val="left"/>
      <w:pPr>
        <w:ind w:left="4799" w:hanging="360"/>
      </w:pPr>
      <w:rPr>
        <w:rFonts w:ascii="Courier New" w:hAnsi="Courier New" w:cs="Courier New" w:hint="default"/>
      </w:rPr>
    </w:lvl>
    <w:lvl w:ilvl="5" w:tplc="300A0005" w:tentative="1">
      <w:start w:val="1"/>
      <w:numFmt w:val="bullet"/>
      <w:lvlText w:val=""/>
      <w:lvlJc w:val="left"/>
      <w:pPr>
        <w:ind w:left="5519" w:hanging="360"/>
      </w:pPr>
      <w:rPr>
        <w:rFonts w:ascii="Wingdings" w:hAnsi="Wingdings" w:hint="default"/>
      </w:rPr>
    </w:lvl>
    <w:lvl w:ilvl="6" w:tplc="300A0001" w:tentative="1">
      <w:start w:val="1"/>
      <w:numFmt w:val="bullet"/>
      <w:lvlText w:val=""/>
      <w:lvlJc w:val="left"/>
      <w:pPr>
        <w:ind w:left="6239" w:hanging="360"/>
      </w:pPr>
      <w:rPr>
        <w:rFonts w:ascii="Symbol" w:hAnsi="Symbol" w:hint="default"/>
      </w:rPr>
    </w:lvl>
    <w:lvl w:ilvl="7" w:tplc="300A0003" w:tentative="1">
      <w:start w:val="1"/>
      <w:numFmt w:val="bullet"/>
      <w:lvlText w:val="o"/>
      <w:lvlJc w:val="left"/>
      <w:pPr>
        <w:ind w:left="6959" w:hanging="360"/>
      </w:pPr>
      <w:rPr>
        <w:rFonts w:ascii="Courier New" w:hAnsi="Courier New" w:cs="Courier New" w:hint="default"/>
      </w:rPr>
    </w:lvl>
    <w:lvl w:ilvl="8" w:tplc="300A0005" w:tentative="1">
      <w:start w:val="1"/>
      <w:numFmt w:val="bullet"/>
      <w:lvlText w:val=""/>
      <w:lvlJc w:val="left"/>
      <w:pPr>
        <w:ind w:left="7679" w:hanging="360"/>
      </w:pPr>
      <w:rPr>
        <w:rFonts w:ascii="Wingdings" w:hAnsi="Wingdings" w:hint="default"/>
      </w:rPr>
    </w:lvl>
  </w:abstractNum>
  <w:abstractNum w:abstractNumId="3" w15:restartNumberingAfterBreak="0">
    <w:nsid w:val="0BE16E73"/>
    <w:multiLevelType w:val="hybridMultilevel"/>
    <w:tmpl w:val="6DD621D6"/>
    <w:lvl w:ilvl="0" w:tplc="300A0017">
      <w:start w:val="1"/>
      <w:numFmt w:val="lowerLetter"/>
      <w:lvlText w:val="%1)"/>
      <w:lvlJc w:val="left"/>
      <w:pPr>
        <w:ind w:left="1344" w:hanging="360"/>
      </w:pPr>
    </w:lvl>
    <w:lvl w:ilvl="1" w:tplc="300A0019" w:tentative="1">
      <w:start w:val="1"/>
      <w:numFmt w:val="lowerLetter"/>
      <w:lvlText w:val="%2."/>
      <w:lvlJc w:val="left"/>
      <w:pPr>
        <w:ind w:left="2064" w:hanging="360"/>
      </w:pPr>
    </w:lvl>
    <w:lvl w:ilvl="2" w:tplc="300A001B" w:tentative="1">
      <w:start w:val="1"/>
      <w:numFmt w:val="lowerRoman"/>
      <w:lvlText w:val="%3."/>
      <w:lvlJc w:val="right"/>
      <w:pPr>
        <w:ind w:left="2784" w:hanging="180"/>
      </w:pPr>
    </w:lvl>
    <w:lvl w:ilvl="3" w:tplc="300A000F" w:tentative="1">
      <w:start w:val="1"/>
      <w:numFmt w:val="decimal"/>
      <w:lvlText w:val="%4."/>
      <w:lvlJc w:val="left"/>
      <w:pPr>
        <w:ind w:left="3504" w:hanging="360"/>
      </w:pPr>
    </w:lvl>
    <w:lvl w:ilvl="4" w:tplc="300A0019" w:tentative="1">
      <w:start w:val="1"/>
      <w:numFmt w:val="lowerLetter"/>
      <w:lvlText w:val="%5."/>
      <w:lvlJc w:val="left"/>
      <w:pPr>
        <w:ind w:left="4224" w:hanging="360"/>
      </w:pPr>
    </w:lvl>
    <w:lvl w:ilvl="5" w:tplc="300A001B" w:tentative="1">
      <w:start w:val="1"/>
      <w:numFmt w:val="lowerRoman"/>
      <w:lvlText w:val="%6."/>
      <w:lvlJc w:val="right"/>
      <w:pPr>
        <w:ind w:left="4944" w:hanging="180"/>
      </w:pPr>
    </w:lvl>
    <w:lvl w:ilvl="6" w:tplc="300A000F" w:tentative="1">
      <w:start w:val="1"/>
      <w:numFmt w:val="decimal"/>
      <w:lvlText w:val="%7."/>
      <w:lvlJc w:val="left"/>
      <w:pPr>
        <w:ind w:left="5664" w:hanging="360"/>
      </w:pPr>
    </w:lvl>
    <w:lvl w:ilvl="7" w:tplc="300A0019" w:tentative="1">
      <w:start w:val="1"/>
      <w:numFmt w:val="lowerLetter"/>
      <w:lvlText w:val="%8."/>
      <w:lvlJc w:val="left"/>
      <w:pPr>
        <w:ind w:left="6384" w:hanging="360"/>
      </w:pPr>
    </w:lvl>
    <w:lvl w:ilvl="8" w:tplc="300A001B" w:tentative="1">
      <w:start w:val="1"/>
      <w:numFmt w:val="lowerRoman"/>
      <w:lvlText w:val="%9."/>
      <w:lvlJc w:val="right"/>
      <w:pPr>
        <w:ind w:left="7104" w:hanging="180"/>
      </w:pPr>
    </w:lvl>
  </w:abstractNum>
  <w:abstractNum w:abstractNumId="4" w15:restartNumberingAfterBreak="0">
    <w:nsid w:val="12DC3E4A"/>
    <w:multiLevelType w:val="hybridMultilevel"/>
    <w:tmpl w:val="861EB014"/>
    <w:lvl w:ilvl="0" w:tplc="B5424F66">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15:restartNumberingAfterBreak="0">
    <w:nsid w:val="1D4E61AA"/>
    <w:multiLevelType w:val="hybridMultilevel"/>
    <w:tmpl w:val="EDC8C734"/>
    <w:lvl w:ilvl="0" w:tplc="66F689CE">
      <w:start w:val="1"/>
      <w:numFmt w:val="bullet"/>
      <w:lvlText w:val="-"/>
      <w:lvlJc w:val="left"/>
      <w:pPr>
        <w:ind w:left="720" w:hanging="360"/>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25F3260A"/>
    <w:multiLevelType w:val="hybridMultilevel"/>
    <w:tmpl w:val="EBA84084"/>
    <w:lvl w:ilvl="0" w:tplc="6A941A70">
      <w:start w:val="1"/>
      <w:numFmt w:val="decimal"/>
      <w:lvlText w:val="%1)"/>
      <w:lvlJc w:val="left"/>
      <w:pPr>
        <w:ind w:left="720" w:hanging="360"/>
      </w:pPr>
      <w:rPr>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15:restartNumberingAfterBreak="0">
    <w:nsid w:val="279C49A4"/>
    <w:multiLevelType w:val="hybridMultilevel"/>
    <w:tmpl w:val="C1CC50E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28B27716"/>
    <w:multiLevelType w:val="hybridMultilevel"/>
    <w:tmpl w:val="B574D65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C8E0157"/>
    <w:multiLevelType w:val="hybridMultilevel"/>
    <w:tmpl w:val="2A86A8A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E7A38F0"/>
    <w:multiLevelType w:val="hybridMultilevel"/>
    <w:tmpl w:val="AF4ED920"/>
    <w:lvl w:ilvl="0" w:tplc="72C46074">
      <w:start w:val="1"/>
      <w:numFmt w:val="lowerRoman"/>
      <w:lvlText w:val="(%1)"/>
      <w:lvlJc w:val="left"/>
      <w:pPr>
        <w:ind w:left="1854" w:hanging="720"/>
      </w:pPr>
      <w:rPr>
        <w:rFonts w:hint="default"/>
      </w:rPr>
    </w:lvl>
    <w:lvl w:ilvl="1" w:tplc="300A0019" w:tentative="1">
      <w:start w:val="1"/>
      <w:numFmt w:val="lowerLetter"/>
      <w:lvlText w:val="%2."/>
      <w:lvlJc w:val="left"/>
      <w:pPr>
        <w:ind w:left="2214" w:hanging="360"/>
      </w:pPr>
    </w:lvl>
    <w:lvl w:ilvl="2" w:tplc="300A001B" w:tentative="1">
      <w:start w:val="1"/>
      <w:numFmt w:val="lowerRoman"/>
      <w:lvlText w:val="%3."/>
      <w:lvlJc w:val="right"/>
      <w:pPr>
        <w:ind w:left="2934" w:hanging="180"/>
      </w:pPr>
    </w:lvl>
    <w:lvl w:ilvl="3" w:tplc="300A000F" w:tentative="1">
      <w:start w:val="1"/>
      <w:numFmt w:val="decimal"/>
      <w:lvlText w:val="%4."/>
      <w:lvlJc w:val="left"/>
      <w:pPr>
        <w:ind w:left="3654" w:hanging="360"/>
      </w:pPr>
    </w:lvl>
    <w:lvl w:ilvl="4" w:tplc="300A0019" w:tentative="1">
      <w:start w:val="1"/>
      <w:numFmt w:val="lowerLetter"/>
      <w:lvlText w:val="%5."/>
      <w:lvlJc w:val="left"/>
      <w:pPr>
        <w:ind w:left="4374" w:hanging="360"/>
      </w:pPr>
    </w:lvl>
    <w:lvl w:ilvl="5" w:tplc="300A001B" w:tentative="1">
      <w:start w:val="1"/>
      <w:numFmt w:val="lowerRoman"/>
      <w:lvlText w:val="%6."/>
      <w:lvlJc w:val="right"/>
      <w:pPr>
        <w:ind w:left="5094" w:hanging="180"/>
      </w:pPr>
    </w:lvl>
    <w:lvl w:ilvl="6" w:tplc="300A000F" w:tentative="1">
      <w:start w:val="1"/>
      <w:numFmt w:val="decimal"/>
      <w:lvlText w:val="%7."/>
      <w:lvlJc w:val="left"/>
      <w:pPr>
        <w:ind w:left="5814" w:hanging="360"/>
      </w:pPr>
    </w:lvl>
    <w:lvl w:ilvl="7" w:tplc="300A0019" w:tentative="1">
      <w:start w:val="1"/>
      <w:numFmt w:val="lowerLetter"/>
      <w:lvlText w:val="%8."/>
      <w:lvlJc w:val="left"/>
      <w:pPr>
        <w:ind w:left="6534" w:hanging="360"/>
      </w:pPr>
    </w:lvl>
    <w:lvl w:ilvl="8" w:tplc="300A001B" w:tentative="1">
      <w:start w:val="1"/>
      <w:numFmt w:val="lowerRoman"/>
      <w:lvlText w:val="%9."/>
      <w:lvlJc w:val="right"/>
      <w:pPr>
        <w:ind w:left="7254" w:hanging="180"/>
      </w:pPr>
    </w:lvl>
  </w:abstractNum>
  <w:abstractNum w:abstractNumId="11" w15:restartNumberingAfterBreak="0">
    <w:nsid w:val="30B70D44"/>
    <w:multiLevelType w:val="hybridMultilevel"/>
    <w:tmpl w:val="2B942BC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31CF0ADC"/>
    <w:multiLevelType w:val="hybridMultilevel"/>
    <w:tmpl w:val="8E12ED50"/>
    <w:lvl w:ilvl="0" w:tplc="300A0011">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15:restartNumberingAfterBreak="0">
    <w:nsid w:val="3498699A"/>
    <w:multiLevelType w:val="hybridMultilevel"/>
    <w:tmpl w:val="0820370E"/>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15:restartNumberingAfterBreak="0">
    <w:nsid w:val="34D05BAE"/>
    <w:multiLevelType w:val="hybridMultilevel"/>
    <w:tmpl w:val="F9689A9A"/>
    <w:lvl w:ilvl="0" w:tplc="DAB84EC2">
      <w:start w:val="5"/>
      <w:numFmt w:val="bullet"/>
      <w:lvlText w:val="-"/>
      <w:lvlJc w:val="left"/>
      <w:pPr>
        <w:ind w:left="1566" w:hanging="360"/>
      </w:pPr>
      <w:rPr>
        <w:rFonts w:ascii="Arial" w:eastAsia="Times New Roman" w:hAnsi="Arial" w:cs="Arial" w:hint="default"/>
        <w:b/>
      </w:rPr>
    </w:lvl>
    <w:lvl w:ilvl="1" w:tplc="300A0003">
      <w:start w:val="1"/>
      <w:numFmt w:val="bullet"/>
      <w:lvlText w:val="o"/>
      <w:lvlJc w:val="left"/>
      <w:pPr>
        <w:ind w:left="2286" w:hanging="360"/>
      </w:pPr>
      <w:rPr>
        <w:rFonts w:ascii="Courier New" w:hAnsi="Courier New" w:cs="Courier New" w:hint="default"/>
      </w:rPr>
    </w:lvl>
    <w:lvl w:ilvl="2" w:tplc="300A0005" w:tentative="1">
      <w:start w:val="1"/>
      <w:numFmt w:val="bullet"/>
      <w:lvlText w:val=""/>
      <w:lvlJc w:val="left"/>
      <w:pPr>
        <w:ind w:left="3006" w:hanging="360"/>
      </w:pPr>
      <w:rPr>
        <w:rFonts w:ascii="Wingdings" w:hAnsi="Wingdings" w:hint="default"/>
      </w:rPr>
    </w:lvl>
    <w:lvl w:ilvl="3" w:tplc="300A0001" w:tentative="1">
      <w:start w:val="1"/>
      <w:numFmt w:val="bullet"/>
      <w:lvlText w:val=""/>
      <w:lvlJc w:val="left"/>
      <w:pPr>
        <w:ind w:left="3726" w:hanging="360"/>
      </w:pPr>
      <w:rPr>
        <w:rFonts w:ascii="Symbol" w:hAnsi="Symbol" w:hint="default"/>
      </w:rPr>
    </w:lvl>
    <w:lvl w:ilvl="4" w:tplc="300A0003" w:tentative="1">
      <w:start w:val="1"/>
      <w:numFmt w:val="bullet"/>
      <w:lvlText w:val="o"/>
      <w:lvlJc w:val="left"/>
      <w:pPr>
        <w:ind w:left="4446" w:hanging="360"/>
      </w:pPr>
      <w:rPr>
        <w:rFonts w:ascii="Courier New" w:hAnsi="Courier New" w:cs="Courier New" w:hint="default"/>
      </w:rPr>
    </w:lvl>
    <w:lvl w:ilvl="5" w:tplc="300A0005" w:tentative="1">
      <w:start w:val="1"/>
      <w:numFmt w:val="bullet"/>
      <w:lvlText w:val=""/>
      <w:lvlJc w:val="left"/>
      <w:pPr>
        <w:ind w:left="5166" w:hanging="360"/>
      </w:pPr>
      <w:rPr>
        <w:rFonts w:ascii="Wingdings" w:hAnsi="Wingdings" w:hint="default"/>
      </w:rPr>
    </w:lvl>
    <w:lvl w:ilvl="6" w:tplc="300A0001" w:tentative="1">
      <w:start w:val="1"/>
      <w:numFmt w:val="bullet"/>
      <w:lvlText w:val=""/>
      <w:lvlJc w:val="left"/>
      <w:pPr>
        <w:ind w:left="5886" w:hanging="360"/>
      </w:pPr>
      <w:rPr>
        <w:rFonts w:ascii="Symbol" w:hAnsi="Symbol" w:hint="default"/>
      </w:rPr>
    </w:lvl>
    <w:lvl w:ilvl="7" w:tplc="300A0003" w:tentative="1">
      <w:start w:val="1"/>
      <w:numFmt w:val="bullet"/>
      <w:lvlText w:val="o"/>
      <w:lvlJc w:val="left"/>
      <w:pPr>
        <w:ind w:left="6606" w:hanging="360"/>
      </w:pPr>
      <w:rPr>
        <w:rFonts w:ascii="Courier New" w:hAnsi="Courier New" w:cs="Courier New" w:hint="default"/>
      </w:rPr>
    </w:lvl>
    <w:lvl w:ilvl="8" w:tplc="300A0005" w:tentative="1">
      <w:start w:val="1"/>
      <w:numFmt w:val="bullet"/>
      <w:lvlText w:val=""/>
      <w:lvlJc w:val="left"/>
      <w:pPr>
        <w:ind w:left="7326" w:hanging="360"/>
      </w:pPr>
      <w:rPr>
        <w:rFonts w:ascii="Wingdings" w:hAnsi="Wingdings" w:hint="default"/>
      </w:rPr>
    </w:lvl>
  </w:abstractNum>
  <w:abstractNum w:abstractNumId="15" w15:restartNumberingAfterBreak="0">
    <w:nsid w:val="37FD1979"/>
    <w:multiLevelType w:val="hybridMultilevel"/>
    <w:tmpl w:val="F78AF666"/>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6" w15:restartNumberingAfterBreak="0">
    <w:nsid w:val="38067284"/>
    <w:multiLevelType w:val="hybridMultilevel"/>
    <w:tmpl w:val="27B25554"/>
    <w:lvl w:ilvl="0" w:tplc="300A0001">
      <w:start w:val="1"/>
      <w:numFmt w:val="bullet"/>
      <w:lvlText w:val=""/>
      <w:lvlJc w:val="left"/>
      <w:pPr>
        <w:ind w:left="1566" w:hanging="360"/>
      </w:pPr>
      <w:rPr>
        <w:rFonts w:ascii="Symbol" w:hAnsi="Symbol" w:hint="default"/>
        <w:b/>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391F0E16"/>
    <w:multiLevelType w:val="hybridMultilevel"/>
    <w:tmpl w:val="27568436"/>
    <w:lvl w:ilvl="0" w:tplc="A83818FE">
      <w:start w:val="1"/>
      <w:numFmt w:val="decimal"/>
      <w:lvlText w:val="%1)"/>
      <w:lvlJc w:val="left"/>
      <w:pPr>
        <w:ind w:left="720" w:hanging="360"/>
      </w:pPr>
      <w:rPr>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8" w15:restartNumberingAfterBreak="0">
    <w:nsid w:val="416B5837"/>
    <w:multiLevelType w:val="multilevel"/>
    <w:tmpl w:val="A13CFD1E"/>
    <w:lvl w:ilvl="0">
      <w:start w:val="1"/>
      <w:numFmt w:val="decimal"/>
      <w:lvlText w:val="%1)"/>
      <w:lvlJc w:val="left"/>
      <w:pPr>
        <w:tabs>
          <w:tab w:val="num" w:pos="720"/>
        </w:tabs>
        <w:ind w:left="720" w:hanging="720"/>
      </w:pPr>
    </w:lvl>
    <w:lvl w:ilvl="1">
      <w:start w:val="1"/>
      <w:numFmt w:val="bullet"/>
      <w:lvlText w:val="o"/>
      <w:lvlJc w:val="left"/>
      <w:pPr>
        <w:tabs>
          <w:tab w:val="num" w:pos="1440"/>
        </w:tabs>
        <w:ind w:left="1440" w:hanging="720"/>
      </w:pPr>
      <w:rPr>
        <w:rFonts w:ascii="Courier New" w:hAnsi="Courier New" w:cs="Courier New"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485931A2"/>
    <w:multiLevelType w:val="hybridMultilevel"/>
    <w:tmpl w:val="93ACD9F4"/>
    <w:lvl w:ilvl="0" w:tplc="110C6C5E">
      <w:start w:val="1"/>
      <w:numFmt w:val="lowerLetter"/>
      <w:lvlText w:val="%1)"/>
      <w:lvlJc w:val="left"/>
      <w:pPr>
        <w:ind w:left="720" w:hanging="360"/>
      </w:pPr>
      <w:rPr>
        <w:rFonts w:hint="default"/>
        <w:b w:val="0"/>
        <w:i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0" w15:restartNumberingAfterBreak="0">
    <w:nsid w:val="493700E8"/>
    <w:multiLevelType w:val="hybridMultilevel"/>
    <w:tmpl w:val="F474BD3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49C727E2"/>
    <w:multiLevelType w:val="hybridMultilevel"/>
    <w:tmpl w:val="7CE6019C"/>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4B605385"/>
    <w:multiLevelType w:val="hybridMultilevel"/>
    <w:tmpl w:val="13AE5DB8"/>
    <w:lvl w:ilvl="0" w:tplc="66F689CE">
      <w:start w:val="1"/>
      <w:numFmt w:val="bullet"/>
      <w:lvlText w:val="-"/>
      <w:lvlJc w:val="left"/>
      <w:pPr>
        <w:ind w:left="1068" w:hanging="360"/>
      </w:pPr>
      <w:rPr>
        <w:rFonts w:ascii="Arial" w:eastAsia="Times New Roman" w:hAnsi="Arial" w:cs="Arial" w:hint="default"/>
      </w:rPr>
    </w:lvl>
    <w:lvl w:ilvl="1" w:tplc="DAB84EC2">
      <w:start w:val="5"/>
      <w:numFmt w:val="bullet"/>
      <w:lvlText w:val="-"/>
      <w:lvlJc w:val="left"/>
      <w:pPr>
        <w:ind w:left="1788" w:hanging="360"/>
      </w:pPr>
      <w:rPr>
        <w:rFonts w:ascii="Arial" w:eastAsia="Times New Roman" w:hAnsi="Arial" w:cs="Arial"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23" w15:restartNumberingAfterBreak="0">
    <w:nsid w:val="4BC62779"/>
    <w:multiLevelType w:val="hybridMultilevel"/>
    <w:tmpl w:val="06BA494A"/>
    <w:lvl w:ilvl="0" w:tplc="C6900ECE">
      <w:numFmt w:val="bullet"/>
      <w:lvlText w:val="-"/>
      <w:lvlJc w:val="left"/>
      <w:pPr>
        <w:ind w:left="720" w:hanging="360"/>
      </w:pPr>
      <w:rPr>
        <w:rFonts w:ascii="Arial" w:eastAsia="Times New Roman" w:hAnsi="Arial" w:cs="Arial" w:hint="default"/>
        <w:b/>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4DD82A89"/>
    <w:multiLevelType w:val="hybridMultilevel"/>
    <w:tmpl w:val="F55EC87A"/>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514A546F"/>
    <w:multiLevelType w:val="hybridMultilevel"/>
    <w:tmpl w:val="D422A30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51A20AE0"/>
    <w:multiLevelType w:val="hybridMultilevel"/>
    <w:tmpl w:val="B2A88CF4"/>
    <w:lvl w:ilvl="0" w:tplc="300A0013">
      <w:start w:val="1"/>
      <w:numFmt w:val="upperRoman"/>
      <w:lvlText w:val="%1."/>
      <w:lvlJc w:val="right"/>
      <w:pPr>
        <w:ind w:left="1569" w:hanging="360"/>
      </w:pPr>
      <w:rPr>
        <w:rFonts w:hint="default"/>
      </w:rPr>
    </w:lvl>
    <w:lvl w:ilvl="1" w:tplc="300A0003">
      <w:start w:val="1"/>
      <w:numFmt w:val="bullet"/>
      <w:lvlText w:val="o"/>
      <w:lvlJc w:val="left"/>
      <w:pPr>
        <w:ind w:left="2289" w:hanging="360"/>
      </w:pPr>
      <w:rPr>
        <w:rFonts w:ascii="Courier New" w:hAnsi="Courier New" w:cs="Courier New" w:hint="default"/>
      </w:rPr>
    </w:lvl>
    <w:lvl w:ilvl="2" w:tplc="300A0005">
      <w:start w:val="1"/>
      <w:numFmt w:val="bullet"/>
      <w:lvlText w:val=""/>
      <w:lvlJc w:val="left"/>
      <w:pPr>
        <w:ind w:left="3009" w:hanging="360"/>
      </w:pPr>
      <w:rPr>
        <w:rFonts w:ascii="Wingdings" w:hAnsi="Wingdings" w:hint="default"/>
      </w:rPr>
    </w:lvl>
    <w:lvl w:ilvl="3" w:tplc="300A0001">
      <w:start w:val="1"/>
      <w:numFmt w:val="bullet"/>
      <w:lvlText w:val=""/>
      <w:lvlJc w:val="left"/>
      <w:pPr>
        <w:ind w:left="3729" w:hanging="360"/>
      </w:pPr>
      <w:rPr>
        <w:rFonts w:ascii="Symbol" w:hAnsi="Symbol" w:hint="default"/>
      </w:rPr>
    </w:lvl>
    <w:lvl w:ilvl="4" w:tplc="300A0003">
      <w:start w:val="1"/>
      <w:numFmt w:val="bullet"/>
      <w:lvlText w:val="o"/>
      <w:lvlJc w:val="left"/>
      <w:pPr>
        <w:ind w:left="4449" w:hanging="360"/>
      </w:pPr>
      <w:rPr>
        <w:rFonts w:ascii="Courier New" w:hAnsi="Courier New" w:cs="Courier New" w:hint="default"/>
      </w:rPr>
    </w:lvl>
    <w:lvl w:ilvl="5" w:tplc="300A0005">
      <w:start w:val="1"/>
      <w:numFmt w:val="bullet"/>
      <w:lvlText w:val=""/>
      <w:lvlJc w:val="left"/>
      <w:pPr>
        <w:ind w:left="5169" w:hanging="360"/>
      </w:pPr>
      <w:rPr>
        <w:rFonts w:ascii="Wingdings" w:hAnsi="Wingdings" w:hint="default"/>
      </w:rPr>
    </w:lvl>
    <w:lvl w:ilvl="6" w:tplc="300A0001">
      <w:start w:val="1"/>
      <w:numFmt w:val="bullet"/>
      <w:lvlText w:val=""/>
      <w:lvlJc w:val="left"/>
      <w:pPr>
        <w:ind w:left="5889" w:hanging="360"/>
      </w:pPr>
      <w:rPr>
        <w:rFonts w:ascii="Symbol" w:hAnsi="Symbol" w:hint="default"/>
      </w:rPr>
    </w:lvl>
    <w:lvl w:ilvl="7" w:tplc="300A0003">
      <w:start w:val="1"/>
      <w:numFmt w:val="bullet"/>
      <w:lvlText w:val="o"/>
      <w:lvlJc w:val="left"/>
      <w:pPr>
        <w:ind w:left="6609" w:hanging="360"/>
      </w:pPr>
      <w:rPr>
        <w:rFonts w:ascii="Courier New" w:hAnsi="Courier New" w:cs="Courier New" w:hint="default"/>
      </w:rPr>
    </w:lvl>
    <w:lvl w:ilvl="8" w:tplc="300A0005">
      <w:start w:val="1"/>
      <w:numFmt w:val="bullet"/>
      <w:lvlText w:val=""/>
      <w:lvlJc w:val="left"/>
      <w:pPr>
        <w:ind w:left="7329" w:hanging="360"/>
      </w:pPr>
      <w:rPr>
        <w:rFonts w:ascii="Wingdings" w:hAnsi="Wingdings" w:hint="default"/>
      </w:rPr>
    </w:lvl>
  </w:abstractNum>
  <w:abstractNum w:abstractNumId="27" w15:restartNumberingAfterBreak="0">
    <w:nsid w:val="5C3E75D3"/>
    <w:multiLevelType w:val="hybridMultilevel"/>
    <w:tmpl w:val="BFB8752C"/>
    <w:lvl w:ilvl="0" w:tplc="34D8B8AC">
      <w:start w:val="1"/>
      <w:numFmt w:val="lowerRoman"/>
      <w:lvlText w:val="(%1)"/>
      <w:lvlJc w:val="left"/>
      <w:pPr>
        <w:ind w:left="720" w:hanging="360"/>
      </w:pPr>
    </w:lvl>
    <w:lvl w:ilvl="1" w:tplc="300A0019">
      <w:start w:val="1"/>
      <w:numFmt w:val="lowerLetter"/>
      <w:lvlText w:val="%2."/>
      <w:lvlJc w:val="left"/>
      <w:pPr>
        <w:ind w:left="1440" w:hanging="360"/>
      </w:pPr>
    </w:lvl>
    <w:lvl w:ilvl="2" w:tplc="34D8B8AC">
      <w:start w:val="1"/>
      <w:numFmt w:val="lowerRoman"/>
      <w:lvlText w:val="(%3)"/>
      <w:lvlJc w:val="lef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28" w15:restartNumberingAfterBreak="0">
    <w:nsid w:val="5DFA19FD"/>
    <w:multiLevelType w:val="hybridMultilevel"/>
    <w:tmpl w:val="0AEAFCCA"/>
    <w:lvl w:ilvl="0" w:tplc="299A7342">
      <w:numFmt w:val="bullet"/>
      <w:lvlText w:val="-"/>
      <w:lvlJc w:val="left"/>
      <w:pPr>
        <w:ind w:left="1429" w:hanging="360"/>
      </w:pPr>
      <w:rPr>
        <w:rFonts w:ascii="Arial" w:eastAsia="Times New Roman" w:hAnsi="Arial" w:cs="Arial" w:hint="default"/>
        <w:b w:val="0"/>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29" w15:restartNumberingAfterBreak="0">
    <w:nsid w:val="5FF2234B"/>
    <w:multiLevelType w:val="hybridMultilevel"/>
    <w:tmpl w:val="05A61E1C"/>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0" w15:restartNumberingAfterBreak="0">
    <w:nsid w:val="66DF5710"/>
    <w:multiLevelType w:val="hybridMultilevel"/>
    <w:tmpl w:val="A15840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68165A51"/>
    <w:multiLevelType w:val="hybridMultilevel"/>
    <w:tmpl w:val="1AE4E4D4"/>
    <w:lvl w:ilvl="0" w:tplc="B41AECCE">
      <w:start w:val="4"/>
      <w:numFmt w:val="bullet"/>
      <w:lvlText w:val="-"/>
      <w:lvlJc w:val="left"/>
      <w:pPr>
        <w:ind w:left="1287" w:hanging="360"/>
      </w:pPr>
      <w:rPr>
        <w:rFonts w:ascii="Arial" w:eastAsia="Times New Roman" w:hAnsi="Arial" w:cs="Aria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32" w15:restartNumberingAfterBreak="0">
    <w:nsid w:val="6A35340F"/>
    <w:multiLevelType w:val="hybridMultilevel"/>
    <w:tmpl w:val="E7A44226"/>
    <w:lvl w:ilvl="0" w:tplc="300A0001">
      <w:start w:val="1"/>
      <w:numFmt w:val="bullet"/>
      <w:lvlText w:val=""/>
      <w:lvlJc w:val="left"/>
      <w:pPr>
        <w:ind w:left="1287" w:hanging="360"/>
      </w:pPr>
      <w:rPr>
        <w:rFonts w:ascii="Symbol" w:hAnsi="Symbo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33" w15:restartNumberingAfterBreak="0">
    <w:nsid w:val="6D1C2D2D"/>
    <w:multiLevelType w:val="hybridMultilevel"/>
    <w:tmpl w:val="A91AD4C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7E0D0D88"/>
    <w:multiLevelType w:val="hybridMultilevel"/>
    <w:tmpl w:val="9268251A"/>
    <w:lvl w:ilvl="0" w:tplc="D3D2C7DC">
      <w:start w:val="1"/>
      <w:numFmt w:val="lowerRoman"/>
      <w:lvlText w:val="%1."/>
      <w:lvlJc w:val="left"/>
      <w:pPr>
        <w:ind w:left="1488" w:hanging="360"/>
      </w:pPr>
      <w:rPr>
        <w:rFonts w:hint="default"/>
      </w:rPr>
    </w:lvl>
    <w:lvl w:ilvl="1" w:tplc="300A0019" w:tentative="1">
      <w:start w:val="1"/>
      <w:numFmt w:val="lowerLetter"/>
      <w:lvlText w:val="%2."/>
      <w:lvlJc w:val="left"/>
      <w:pPr>
        <w:ind w:left="1581" w:hanging="360"/>
      </w:pPr>
    </w:lvl>
    <w:lvl w:ilvl="2" w:tplc="300A001B" w:tentative="1">
      <w:start w:val="1"/>
      <w:numFmt w:val="lowerRoman"/>
      <w:lvlText w:val="%3."/>
      <w:lvlJc w:val="right"/>
      <w:pPr>
        <w:ind w:left="2301" w:hanging="180"/>
      </w:pPr>
    </w:lvl>
    <w:lvl w:ilvl="3" w:tplc="300A000F" w:tentative="1">
      <w:start w:val="1"/>
      <w:numFmt w:val="decimal"/>
      <w:lvlText w:val="%4."/>
      <w:lvlJc w:val="left"/>
      <w:pPr>
        <w:ind w:left="3021" w:hanging="360"/>
      </w:pPr>
    </w:lvl>
    <w:lvl w:ilvl="4" w:tplc="300A0019" w:tentative="1">
      <w:start w:val="1"/>
      <w:numFmt w:val="lowerLetter"/>
      <w:lvlText w:val="%5."/>
      <w:lvlJc w:val="left"/>
      <w:pPr>
        <w:ind w:left="3741" w:hanging="360"/>
      </w:pPr>
    </w:lvl>
    <w:lvl w:ilvl="5" w:tplc="300A001B" w:tentative="1">
      <w:start w:val="1"/>
      <w:numFmt w:val="lowerRoman"/>
      <w:lvlText w:val="%6."/>
      <w:lvlJc w:val="right"/>
      <w:pPr>
        <w:ind w:left="4461" w:hanging="180"/>
      </w:pPr>
    </w:lvl>
    <w:lvl w:ilvl="6" w:tplc="300A000F" w:tentative="1">
      <w:start w:val="1"/>
      <w:numFmt w:val="decimal"/>
      <w:lvlText w:val="%7."/>
      <w:lvlJc w:val="left"/>
      <w:pPr>
        <w:ind w:left="5181" w:hanging="360"/>
      </w:pPr>
    </w:lvl>
    <w:lvl w:ilvl="7" w:tplc="300A0019" w:tentative="1">
      <w:start w:val="1"/>
      <w:numFmt w:val="lowerLetter"/>
      <w:lvlText w:val="%8."/>
      <w:lvlJc w:val="left"/>
      <w:pPr>
        <w:ind w:left="5901" w:hanging="360"/>
      </w:pPr>
    </w:lvl>
    <w:lvl w:ilvl="8" w:tplc="300A001B" w:tentative="1">
      <w:start w:val="1"/>
      <w:numFmt w:val="lowerRoman"/>
      <w:lvlText w:val="%9."/>
      <w:lvlJc w:val="right"/>
      <w:pPr>
        <w:ind w:left="6621" w:hanging="180"/>
      </w:pPr>
    </w:lvl>
  </w:abstractNum>
  <w:abstractNum w:abstractNumId="35" w15:restartNumberingAfterBreak="0">
    <w:nsid w:val="7E235335"/>
    <w:multiLevelType w:val="hybridMultilevel"/>
    <w:tmpl w:val="F2D6989C"/>
    <w:lvl w:ilvl="0" w:tplc="21CACD2A">
      <w:start w:val="1"/>
      <w:numFmt w:val="lowerLetter"/>
      <w:lvlText w:val="%1)"/>
      <w:lvlJc w:val="left"/>
      <w:pPr>
        <w:ind w:left="720" w:hanging="360"/>
      </w:pPr>
      <w:rPr>
        <w:rFonts w:ascii="Arial" w:hAnsi="Arial" w:cs="Arial"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22"/>
  </w:num>
  <w:num w:numId="2">
    <w:abstractNumId w:val="15"/>
  </w:num>
  <w:num w:numId="3">
    <w:abstractNumId w:val="19"/>
  </w:num>
  <w:num w:numId="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4"/>
  </w:num>
  <w:num w:numId="7">
    <w:abstractNumId w:val="0"/>
  </w:num>
  <w:num w:numId="8">
    <w:abstractNumId w:val="34"/>
  </w:num>
  <w:num w:numId="9">
    <w:abstractNumId w:val="12"/>
  </w:num>
  <w:num w:numId="10">
    <w:abstractNumId w:val="24"/>
  </w:num>
  <w:num w:numId="11">
    <w:abstractNumId w:val="21"/>
  </w:num>
  <w:num w:numId="12">
    <w:abstractNumId w:val="32"/>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3"/>
  </w:num>
  <w:num w:numId="15">
    <w:abstractNumId w:val="14"/>
  </w:num>
  <w:num w:numId="16">
    <w:abstractNumId w:val="1"/>
  </w:num>
  <w:num w:numId="17">
    <w:abstractNumId w:val="6"/>
  </w:num>
  <w:num w:numId="18">
    <w:abstractNumId w:val="2"/>
  </w:num>
  <w:num w:numId="19">
    <w:abstractNumId w:val="26"/>
  </w:num>
  <w:num w:numId="20">
    <w:abstractNumId w:val="31"/>
  </w:num>
  <w:num w:numId="21">
    <w:abstractNumId w:val="10"/>
  </w:num>
  <w:num w:numId="22">
    <w:abstractNumId w:val="29"/>
  </w:num>
  <w:num w:numId="23">
    <w:abstractNumId w:val="13"/>
  </w:num>
  <w:num w:numId="24">
    <w:abstractNumId w:val="28"/>
  </w:num>
  <w:num w:numId="25">
    <w:abstractNumId w:val="35"/>
  </w:num>
  <w:num w:numId="26">
    <w:abstractNumId w:val="17"/>
  </w:num>
  <w:num w:numId="27">
    <w:abstractNumId w:val="7"/>
  </w:num>
  <w:num w:numId="28">
    <w:abstractNumId w:val="8"/>
  </w:num>
  <w:num w:numId="29">
    <w:abstractNumId w:val="5"/>
  </w:num>
  <w:num w:numId="30">
    <w:abstractNumId w:val="25"/>
  </w:num>
  <w:num w:numId="31">
    <w:abstractNumId w:val="33"/>
  </w:num>
  <w:num w:numId="32">
    <w:abstractNumId w:val="16"/>
  </w:num>
  <w:num w:numId="33">
    <w:abstractNumId w:val="20"/>
  </w:num>
  <w:num w:numId="34">
    <w:abstractNumId w:val="11"/>
  </w:num>
  <w:num w:numId="35">
    <w:abstractNumId w:val="9"/>
  </w:num>
  <w:num w:numId="36">
    <w:abstractNumId w:val="3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5DBA"/>
    <w:rsid w:val="000000CC"/>
    <w:rsid w:val="00000D4D"/>
    <w:rsid w:val="00001276"/>
    <w:rsid w:val="000035BC"/>
    <w:rsid w:val="00004ACE"/>
    <w:rsid w:val="00005DDD"/>
    <w:rsid w:val="00006AE0"/>
    <w:rsid w:val="00006C77"/>
    <w:rsid w:val="00006EAA"/>
    <w:rsid w:val="000075DA"/>
    <w:rsid w:val="00012C4C"/>
    <w:rsid w:val="00014DAB"/>
    <w:rsid w:val="00016158"/>
    <w:rsid w:val="000162E2"/>
    <w:rsid w:val="0002050C"/>
    <w:rsid w:val="00020536"/>
    <w:rsid w:val="00021C84"/>
    <w:rsid w:val="00021F9E"/>
    <w:rsid w:val="00022C86"/>
    <w:rsid w:val="00024070"/>
    <w:rsid w:val="00025001"/>
    <w:rsid w:val="000254A5"/>
    <w:rsid w:val="000274A1"/>
    <w:rsid w:val="00030368"/>
    <w:rsid w:val="00030848"/>
    <w:rsid w:val="00034AEF"/>
    <w:rsid w:val="000352F6"/>
    <w:rsid w:val="00036AD7"/>
    <w:rsid w:val="00036AEB"/>
    <w:rsid w:val="00036E91"/>
    <w:rsid w:val="000406E0"/>
    <w:rsid w:val="00040712"/>
    <w:rsid w:val="00044E10"/>
    <w:rsid w:val="00044E34"/>
    <w:rsid w:val="000454BB"/>
    <w:rsid w:val="0004591A"/>
    <w:rsid w:val="00047BB2"/>
    <w:rsid w:val="00050944"/>
    <w:rsid w:val="0005257E"/>
    <w:rsid w:val="00053F80"/>
    <w:rsid w:val="0005782B"/>
    <w:rsid w:val="0006012A"/>
    <w:rsid w:val="00060669"/>
    <w:rsid w:val="000616D6"/>
    <w:rsid w:val="000617CA"/>
    <w:rsid w:val="00066078"/>
    <w:rsid w:val="00070F0B"/>
    <w:rsid w:val="00071ED6"/>
    <w:rsid w:val="00073816"/>
    <w:rsid w:val="00073DF7"/>
    <w:rsid w:val="00075CA7"/>
    <w:rsid w:val="000814A0"/>
    <w:rsid w:val="00081F0B"/>
    <w:rsid w:val="000831B3"/>
    <w:rsid w:val="00083CDE"/>
    <w:rsid w:val="000846EA"/>
    <w:rsid w:val="000859E6"/>
    <w:rsid w:val="00085D08"/>
    <w:rsid w:val="00090A28"/>
    <w:rsid w:val="00090C9E"/>
    <w:rsid w:val="00093489"/>
    <w:rsid w:val="00093B2A"/>
    <w:rsid w:val="00093BC2"/>
    <w:rsid w:val="00093F1A"/>
    <w:rsid w:val="0009536C"/>
    <w:rsid w:val="00095989"/>
    <w:rsid w:val="00095F2C"/>
    <w:rsid w:val="00096C46"/>
    <w:rsid w:val="000A0A64"/>
    <w:rsid w:val="000A0EE7"/>
    <w:rsid w:val="000A1E52"/>
    <w:rsid w:val="000A1F74"/>
    <w:rsid w:val="000A50FA"/>
    <w:rsid w:val="000A786F"/>
    <w:rsid w:val="000A7CEE"/>
    <w:rsid w:val="000B0BA6"/>
    <w:rsid w:val="000B5A2B"/>
    <w:rsid w:val="000B691A"/>
    <w:rsid w:val="000B6E42"/>
    <w:rsid w:val="000B77CD"/>
    <w:rsid w:val="000B78CC"/>
    <w:rsid w:val="000C184A"/>
    <w:rsid w:val="000C2A73"/>
    <w:rsid w:val="000C3B84"/>
    <w:rsid w:val="000D0652"/>
    <w:rsid w:val="000D0A4D"/>
    <w:rsid w:val="000D1A16"/>
    <w:rsid w:val="000D2CCA"/>
    <w:rsid w:val="000D2EDE"/>
    <w:rsid w:val="000D5CE5"/>
    <w:rsid w:val="000E02CB"/>
    <w:rsid w:val="000E08FA"/>
    <w:rsid w:val="000E0D5C"/>
    <w:rsid w:val="000E1D9E"/>
    <w:rsid w:val="000E248D"/>
    <w:rsid w:val="000E702F"/>
    <w:rsid w:val="000E724D"/>
    <w:rsid w:val="000F0831"/>
    <w:rsid w:val="000F3133"/>
    <w:rsid w:val="000F4933"/>
    <w:rsid w:val="000F6D78"/>
    <w:rsid w:val="00102D73"/>
    <w:rsid w:val="00103C71"/>
    <w:rsid w:val="00104637"/>
    <w:rsid w:val="00106406"/>
    <w:rsid w:val="0010670B"/>
    <w:rsid w:val="001073EF"/>
    <w:rsid w:val="00107750"/>
    <w:rsid w:val="00107A6D"/>
    <w:rsid w:val="00110625"/>
    <w:rsid w:val="00111C38"/>
    <w:rsid w:val="001145AA"/>
    <w:rsid w:val="001148B9"/>
    <w:rsid w:val="00114A96"/>
    <w:rsid w:val="00116453"/>
    <w:rsid w:val="001167A4"/>
    <w:rsid w:val="00116F79"/>
    <w:rsid w:val="00120BD7"/>
    <w:rsid w:val="00122473"/>
    <w:rsid w:val="00124A14"/>
    <w:rsid w:val="00126CB1"/>
    <w:rsid w:val="00127B18"/>
    <w:rsid w:val="0013248B"/>
    <w:rsid w:val="001348BE"/>
    <w:rsid w:val="00136CAF"/>
    <w:rsid w:val="00141A69"/>
    <w:rsid w:val="00142A07"/>
    <w:rsid w:val="00143517"/>
    <w:rsid w:val="00144245"/>
    <w:rsid w:val="0014478D"/>
    <w:rsid w:val="00144803"/>
    <w:rsid w:val="00145872"/>
    <w:rsid w:val="001505E7"/>
    <w:rsid w:val="00153CBE"/>
    <w:rsid w:val="0015558F"/>
    <w:rsid w:val="00156B67"/>
    <w:rsid w:val="00160776"/>
    <w:rsid w:val="00160DAC"/>
    <w:rsid w:val="001613BE"/>
    <w:rsid w:val="00161D0E"/>
    <w:rsid w:val="001629E1"/>
    <w:rsid w:val="00164FB0"/>
    <w:rsid w:val="00165757"/>
    <w:rsid w:val="00165AD2"/>
    <w:rsid w:val="00167EC8"/>
    <w:rsid w:val="00170015"/>
    <w:rsid w:val="0017065C"/>
    <w:rsid w:val="001758A1"/>
    <w:rsid w:val="001761CF"/>
    <w:rsid w:val="001774BF"/>
    <w:rsid w:val="00180935"/>
    <w:rsid w:val="00181F72"/>
    <w:rsid w:val="00186572"/>
    <w:rsid w:val="00186A6A"/>
    <w:rsid w:val="00192127"/>
    <w:rsid w:val="00192412"/>
    <w:rsid w:val="00194620"/>
    <w:rsid w:val="0019568B"/>
    <w:rsid w:val="00197F2A"/>
    <w:rsid w:val="001A279B"/>
    <w:rsid w:val="001A3DA4"/>
    <w:rsid w:val="001B0650"/>
    <w:rsid w:val="001B0DED"/>
    <w:rsid w:val="001B2335"/>
    <w:rsid w:val="001B2841"/>
    <w:rsid w:val="001B3EF7"/>
    <w:rsid w:val="001B528B"/>
    <w:rsid w:val="001B5D3B"/>
    <w:rsid w:val="001B720E"/>
    <w:rsid w:val="001C0567"/>
    <w:rsid w:val="001C0782"/>
    <w:rsid w:val="001C1415"/>
    <w:rsid w:val="001C1CC2"/>
    <w:rsid w:val="001C2857"/>
    <w:rsid w:val="001C3C27"/>
    <w:rsid w:val="001C4A3F"/>
    <w:rsid w:val="001C5920"/>
    <w:rsid w:val="001C6E31"/>
    <w:rsid w:val="001D04F7"/>
    <w:rsid w:val="001D1605"/>
    <w:rsid w:val="001D1EF7"/>
    <w:rsid w:val="001D2BF3"/>
    <w:rsid w:val="001D3503"/>
    <w:rsid w:val="001D663D"/>
    <w:rsid w:val="001E260D"/>
    <w:rsid w:val="001E309E"/>
    <w:rsid w:val="001E4299"/>
    <w:rsid w:val="001F07DF"/>
    <w:rsid w:val="001F60AB"/>
    <w:rsid w:val="001F7295"/>
    <w:rsid w:val="001F7867"/>
    <w:rsid w:val="00200BAD"/>
    <w:rsid w:val="00204C83"/>
    <w:rsid w:val="00204F2A"/>
    <w:rsid w:val="00206084"/>
    <w:rsid w:val="00207647"/>
    <w:rsid w:val="002115B6"/>
    <w:rsid w:val="002134D1"/>
    <w:rsid w:val="002161CC"/>
    <w:rsid w:val="0021648E"/>
    <w:rsid w:val="002170F4"/>
    <w:rsid w:val="0021766B"/>
    <w:rsid w:val="00217679"/>
    <w:rsid w:val="002208DB"/>
    <w:rsid w:val="00221A45"/>
    <w:rsid w:val="00222AF2"/>
    <w:rsid w:val="002235B8"/>
    <w:rsid w:val="00225989"/>
    <w:rsid w:val="00225B29"/>
    <w:rsid w:val="00226375"/>
    <w:rsid w:val="00230E75"/>
    <w:rsid w:val="002318A9"/>
    <w:rsid w:val="00233A31"/>
    <w:rsid w:val="00233D9D"/>
    <w:rsid w:val="00233F64"/>
    <w:rsid w:val="00237D3E"/>
    <w:rsid w:val="00237F78"/>
    <w:rsid w:val="00241F2D"/>
    <w:rsid w:val="00242DD3"/>
    <w:rsid w:val="0024452D"/>
    <w:rsid w:val="002449F0"/>
    <w:rsid w:val="00252AE2"/>
    <w:rsid w:val="00253967"/>
    <w:rsid w:val="00255DD2"/>
    <w:rsid w:val="0026266B"/>
    <w:rsid w:val="00264190"/>
    <w:rsid w:val="002648EE"/>
    <w:rsid w:val="00264B42"/>
    <w:rsid w:val="002658CC"/>
    <w:rsid w:val="00265F74"/>
    <w:rsid w:val="00266704"/>
    <w:rsid w:val="00266CC3"/>
    <w:rsid w:val="0026730C"/>
    <w:rsid w:val="002705C1"/>
    <w:rsid w:val="00270620"/>
    <w:rsid w:val="002715CC"/>
    <w:rsid w:val="00271A43"/>
    <w:rsid w:val="002743B1"/>
    <w:rsid w:val="00274A4A"/>
    <w:rsid w:val="002754D4"/>
    <w:rsid w:val="002758F6"/>
    <w:rsid w:val="00275ADD"/>
    <w:rsid w:val="00282210"/>
    <w:rsid w:val="00283FBB"/>
    <w:rsid w:val="0028509C"/>
    <w:rsid w:val="002857A4"/>
    <w:rsid w:val="002875A1"/>
    <w:rsid w:val="0029049C"/>
    <w:rsid w:val="00292127"/>
    <w:rsid w:val="002948BA"/>
    <w:rsid w:val="00297A39"/>
    <w:rsid w:val="002A6631"/>
    <w:rsid w:val="002A74A8"/>
    <w:rsid w:val="002B1398"/>
    <w:rsid w:val="002B227F"/>
    <w:rsid w:val="002B2EF0"/>
    <w:rsid w:val="002B4B41"/>
    <w:rsid w:val="002B6E26"/>
    <w:rsid w:val="002B6F71"/>
    <w:rsid w:val="002B7BC7"/>
    <w:rsid w:val="002C1BE0"/>
    <w:rsid w:val="002C1F89"/>
    <w:rsid w:val="002C22DE"/>
    <w:rsid w:val="002D3033"/>
    <w:rsid w:val="002E284F"/>
    <w:rsid w:val="002E3819"/>
    <w:rsid w:val="002E4081"/>
    <w:rsid w:val="002E5235"/>
    <w:rsid w:val="002E6701"/>
    <w:rsid w:val="002E6DAC"/>
    <w:rsid w:val="002F30DD"/>
    <w:rsid w:val="002F4AEA"/>
    <w:rsid w:val="002F52FC"/>
    <w:rsid w:val="00300DCB"/>
    <w:rsid w:val="0030106A"/>
    <w:rsid w:val="00302522"/>
    <w:rsid w:val="00302962"/>
    <w:rsid w:val="00304025"/>
    <w:rsid w:val="00304785"/>
    <w:rsid w:val="0030660F"/>
    <w:rsid w:val="0031060C"/>
    <w:rsid w:val="00311367"/>
    <w:rsid w:val="003114A7"/>
    <w:rsid w:val="00313010"/>
    <w:rsid w:val="00313B8C"/>
    <w:rsid w:val="00316940"/>
    <w:rsid w:val="00317D30"/>
    <w:rsid w:val="00320E6D"/>
    <w:rsid w:val="003224D6"/>
    <w:rsid w:val="003310D7"/>
    <w:rsid w:val="003317F6"/>
    <w:rsid w:val="00332737"/>
    <w:rsid w:val="00335C16"/>
    <w:rsid w:val="00336C90"/>
    <w:rsid w:val="00341B6A"/>
    <w:rsid w:val="003431E9"/>
    <w:rsid w:val="00346833"/>
    <w:rsid w:val="00346A0C"/>
    <w:rsid w:val="00347793"/>
    <w:rsid w:val="003505E2"/>
    <w:rsid w:val="00350C53"/>
    <w:rsid w:val="00351216"/>
    <w:rsid w:val="00351D88"/>
    <w:rsid w:val="0035247E"/>
    <w:rsid w:val="00352F50"/>
    <w:rsid w:val="00353ED8"/>
    <w:rsid w:val="0035486A"/>
    <w:rsid w:val="00354A69"/>
    <w:rsid w:val="003556F8"/>
    <w:rsid w:val="00357675"/>
    <w:rsid w:val="003579CA"/>
    <w:rsid w:val="00361BC3"/>
    <w:rsid w:val="00361FD9"/>
    <w:rsid w:val="00362772"/>
    <w:rsid w:val="00365FE5"/>
    <w:rsid w:val="0037056A"/>
    <w:rsid w:val="003713F4"/>
    <w:rsid w:val="003733B1"/>
    <w:rsid w:val="00374DA6"/>
    <w:rsid w:val="0037508B"/>
    <w:rsid w:val="0037750F"/>
    <w:rsid w:val="0038184F"/>
    <w:rsid w:val="0038389B"/>
    <w:rsid w:val="0038785E"/>
    <w:rsid w:val="00387A0F"/>
    <w:rsid w:val="00390E2D"/>
    <w:rsid w:val="00391E6A"/>
    <w:rsid w:val="0039269B"/>
    <w:rsid w:val="003933DE"/>
    <w:rsid w:val="00394CBA"/>
    <w:rsid w:val="0039501F"/>
    <w:rsid w:val="00395DBA"/>
    <w:rsid w:val="00396161"/>
    <w:rsid w:val="00396D0D"/>
    <w:rsid w:val="00396D86"/>
    <w:rsid w:val="00396DB0"/>
    <w:rsid w:val="003A13D7"/>
    <w:rsid w:val="003A289E"/>
    <w:rsid w:val="003A39B7"/>
    <w:rsid w:val="003A4067"/>
    <w:rsid w:val="003A6744"/>
    <w:rsid w:val="003B0CE7"/>
    <w:rsid w:val="003B1F10"/>
    <w:rsid w:val="003B2230"/>
    <w:rsid w:val="003B3AE3"/>
    <w:rsid w:val="003B493D"/>
    <w:rsid w:val="003B5F46"/>
    <w:rsid w:val="003B61E6"/>
    <w:rsid w:val="003C0C42"/>
    <w:rsid w:val="003C1308"/>
    <w:rsid w:val="003C1719"/>
    <w:rsid w:val="003C6009"/>
    <w:rsid w:val="003C6990"/>
    <w:rsid w:val="003C72EE"/>
    <w:rsid w:val="003C74B9"/>
    <w:rsid w:val="003D29EF"/>
    <w:rsid w:val="003D2DF3"/>
    <w:rsid w:val="003D5321"/>
    <w:rsid w:val="003D6B24"/>
    <w:rsid w:val="003D6D96"/>
    <w:rsid w:val="003E0812"/>
    <w:rsid w:val="003E3491"/>
    <w:rsid w:val="003E39F9"/>
    <w:rsid w:val="003E4F2F"/>
    <w:rsid w:val="003E538E"/>
    <w:rsid w:val="003F0738"/>
    <w:rsid w:val="003F0C8D"/>
    <w:rsid w:val="003F4431"/>
    <w:rsid w:val="003F6723"/>
    <w:rsid w:val="003F67BB"/>
    <w:rsid w:val="003F6994"/>
    <w:rsid w:val="0040148A"/>
    <w:rsid w:val="00402879"/>
    <w:rsid w:val="00403669"/>
    <w:rsid w:val="004067AC"/>
    <w:rsid w:val="00407134"/>
    <w:rsid w:val="00407D9C"/>
    <w:rsid w:val="00411944"/>
    <w:rsid w:val="00412C0F"/>
    <w:rsid w:val="00413438"/>
    <w:rsid w:val="004139A7"/>
    <w:rsid w:val="00413EE5"/>
    <w:rsid w:val="00413F2D"/>
    <w:rsid w:val="00416863"/>
    <w:rsid w:val="00421406"/>
    <w:rsid w:val="00421CCE"/>
    <w:rsid w:val="00421E95"/>
    <w:rsid w:val="0042600B"/>
    <w:rsid w:val="00426E05"/>
    <w:rsid w:val="00426EB7"/>
    <w:rsid w:val="00432E9C"/>
    <w:rsid w:val="00433391"/>
    <w:rsid w:val="00434A14"/>
    <w:rsid w:val="004351F4"/>
    <w:rsid w:val="00435D6E"/>
    <w:rsid w:val="004367B7"/>
    <w:rsid w:val="0043747D"/>
    <w:rsid w:val="00440BBA"/>
    <w:rsid w:val="004430F5"/>
    <w:rsid w:val="004443EE"/>
    <w:rsid w:val="0044716F"/>
    <w:rsid w:val="0044792A"/>
    <w:rsid w:val="00452229"/>
    <w:rsid w:val="004557C6"/>
    <w:rsid w:val="004569DF"/>
    <w:rsid w:val="00461129"/>
    <w:rsid w:val="004651D8"/>
    <w:rsid w:val="00466373"/>
    <w:rsid w:val="00466C66"/>
    <w:rsid w:val="00467AAA"/>
    <w:rsid w:val="00470D05"/>
    <w:rsid w:val="0047131D"/>
    <w:rsid w:val="00472F51"/>
    <w:rsid w:val="00473F60"/>
    <w:rsid w:val="0047472E"/>
    <w:rsid w:val="004747DA"/>
    <w:rsid w:val="0047506A"/>
    <w:rsid w:val="0048033A"/>
    <w:rsid w:val="004815F8"/>
    <w:rsid w:val="00481713"/>
    <w:rsid w:val="00482E8C"/>
    <w:rsid w:val="00484213"/>
    <w:rsid w:val="00486624"/>
    <w:rsid w:val="00487BA1"/>
    <w:rsid w:val="00487D1D"/>
    <w:rsid w:val="00490392"/>
    <w:rsid w:val="004937B0"/>
    <w:rsid w:val="0049426A"/>
    <w:rsid w:val="0049521E"/>
    <w:rsid w:val="0049539D"/>
    <w:rsid w:val="004A30EF"/>
    <w:rsid w:val="004A5B00"/>
    <w:rsid w:val="004A61A5"/>
    <w:rsid w:val="004A6B89"/>
    <w:rsid w:val="004A7613"/>
    <w:rsid w:val="004B16D0"/>
    <w:rsid w:val="004B46F9"/>
    <w:rsid w:val="004B504D"/>
    <w:rsid w:val="004B6FBF"/>
    <w:rsid w:val="004B733F"/>
    <w:rsid w:val="004C393B"/>
    <w:rsid w:val="004C3971"/>
    <w:rsid w:val="004C5BDC"/>
    <w:rsid w:val="004C5C18"/>
    <w:rsid w:val="004C7262"/>
    <w:rsid w:val="004D0486"/>
    <w:rsid w:val="004D0BC1"/>
    <w:rsid w:val="004D0E59"/>
    <w:rsid w:val="004D1240"/>
    <w:rsid w:val="004D25F7"/>
    <w:rsid w:val="004D2C37"/>
    <w:rsid w:val="004D489D"/>
    <w:rsid w:val="004D5657"/>
    <w:rsid w:val="004D58F9"/>
    <w:rsid w:val="004E1DE7"/>
    <w:rsid w:val="004E2C72"/>
    <w:rsid w:val="004E2E1C"/>
    <w:rsid w:val="004E433D"/>
    <w:rsid w:val="004E5C88"/>
    <w:rsid w:val="004E62C4"/>
    <w:rsid w:val="004F245F"/>
    <w:rsid w:val="004F593A"/>
    <w:rsid w:val="00501907"/>
    <w:rsid w:val="00501CE7"/>
    <w:rsid w:val="00505236"/>
    <w:rsid w:val="0050639D"/>
    <w:rsid w:val="0051018B"/>
    <w:rsid w:val="005110AA"/>
    <w:rsid w:val="00511D26"/>
    <w:rsid w:val="00512FC7"/>
    <w:rsid w:val="005136A2"/>
    <w:rsid w:val="00514618"/>
    <w:rsid w:val="005163F9"/>
    <w:rsid w:val="00516B8B"/>
    <w:rsid w:val="00516FBD"/>
    <w:rsid w:val="005218D0"/>
    <w:rsid w:val="00521D19"/>
    <w:rsid w:val="00522611"/>
    <w:rsid w:val="0052363F"/>
    <w:rsid w:val="00524299"/>
    <w:rsid w:val="00524557"/>
    <w:rsid w:val="0052756A"/>
    <w:rsid w:val="005276A6"/>
    <w:rsid w:val="00530741"/>
    <w:rsid w:val="005344A6"/>
    <w:rsid w:val="00535C63"/>
    <w:rsid w:val="00537BDF"/>
    <w:rsid w:val="0054091F"/>
    <w:rsid w:val="00541A23"/>
    <w:rsid w:val="00541F1F"/>
    <w:rsid w:val="00542B3E"/>
    <w:rsid w:val="005447F5"/>
    <w:rsid w:val="00546838"/>
    <w:rsid w:val="00550431"/>
    <w:rsid w:val="00551FFE"/>
    <w:rsid w:val="00554638"/>
    <w:rsid w:val="00554E4F"/>
    <w:rsid w:val="005550AE"/>
    <w:rsid w:val="00555557"/>
    <w:rsid w:val="005559D1"/>
    <w:rsid w:val="00556189"/>
    <w:rsid w:val="00556BFA"/>
    <w:rsid w:val="0055769E"/>
    <w:rsid w:val="00557D58"/>
    <w:rsid w:val="0056078C"/>
    <w:rsid w:val="005608B3"/>
    <w:rsid w:val="00561162"/>
    <w:rsid w:val="0056243A"/>
    <w:rsid w:val="0056256E"/>
    <w:rsid w:val="00565AF0"/>
    <w:rsid w:val="00565CD3"/>
    <w:rsid w:val="005671E5"/>
    <w:rsid w:val="005671EC"/>
    <w:rsid w:val="005709B7"/>
    <w:rsid w:val="005710BE"/>
    <w:rsid w:val="0057169A"/>
    <w:rsid w:val="0057191B"/>
    <w:rsid w:val="00572359"/>
    <w:rsid w:val="00572D03"/>
    <w:rsid w:val="005745C0"/>
    <w:rsid w:val="005804D2"/>
    <w:rsid w:val="00581503"/>
    <w:rsid w:val="00583FE2"/>
    <w:rsid w:val="005844D4"/>
    <w:rsid w:val="00587CFA"/>
    <w:rsid w:val="0059010E"/>
    <w:rsid w:val="005920AA"/>
    <w:rsid w:val="0059247D"/>
    <w:rsid w:val="005945D8"/>
    <w:rsid w:val="00594D25"/>
    <w:rsid w:val="005953F1"/>
    <w:rsid w:val="005A026F"/>
    <w:rsid w:val="005A37FF"/>
    <w:rsid w:val="005A48B8"/>
    <w:rsid w:val="005A5F08"/>
    <w:rsid w:val="005B12F3"/>
    <w:rsid w:val="005B29DE"/>
    <w:rsid w:val="005B2A5F"/>
    <w:rsid w:val="005B5196"/>
    <w:rsid w:val="005B6245"/>
    <w:rsid w:val="005B6A37"/>
    <w:rsid w:val="005C58F0"/>
    <w:rsid w:val="005D1349"/>
    <w:rsid w:val="005D4FAC"/>
    <w:rsid w:val="005D7121"/>
    <w:rsid w:val="005E5811"/>
    <w:rsid w:val="005E7326"/>
    <w:rsid w:val="005E7BD6"/>
    <w:rsid w:val="005F61FD"/>
    <w:rsid w:val="005F7678"/>
    <w:rsid w:val="00600276"/>
    <w:rsid w:val="00602A7B"/>
    <w:rsid w:val="00602F66"/>
    <w:rsid w:val="00603974"/>
    <w:rsid w:val="00604F36"/>
    <w:rsid w:val="00605205"/>
    <w:rsid w:val="00605DC5"/>
    <w:rsid w:val="006060CA"/>
    <w:rsid w:val="00606774"/>
    <w:rsid w:val="00607FF3"/>
    <w:rsid w:val="00610016"/>
    <w:rsid w:val="00610A5F"/>
    <w:rsid w:val="006119FD"/>
    <w:rsid w:val="006129E2"/>
    <w:rsid w:val="00612EA2"/>
    <w:rsid w:val="006139BF"/>
    <w:rsid w:val="00614CD6"/>
    <w:rsid w:val="006151FD"/>
    <w:rsid w:val="00615350"/>
    <w:rsid w:val="00617656"/>
    <w:rsid w:val="00617BDD"/>
    <w:rsid w:val="0062202C"/>
    <w:rsid w:val="00624319"/>
    <w:rsid w:val="00630B43"/>
    <w:rsid w:val="0063558F"/>
    <w:rsid w:val="0063609D"/>
    <w:rsid w:val="00636369"/>
    <w:rsid w:val="006421C0"/>
    <w:rsid w:val="006465BD"/>
    <w:rsid w:val="00646ECF"/>
    <w:rsid w:val="00651D7E"/>
    <w:rsid w:val="006525FC"/>
    <w:rsid w:val="006538E9"/>
    <w:rsid w:val="00656084"/>
    <w:rsid w:val="006564B1"/>
    <w:rsid w:val="00657644"/>
    <w:rsid w:val="006613B9"/>
    <w:rsid w:val="00661A4E"/>
    <w:rsid w:val="00663200"/>
    <w:rsid w:val="00665C39"/>
    <w:rsid w:val="006666B5"/>
    <w:rsid w:val="0066786B"/>
    <w:rsid w:val="0067066D"/>
    <w:rsid w:val="00670E83"/>
    <w:rsid w:val="00671CC2"/>
    <w:rsid w:val="00673CF6"/>
    <w:rsid w:val="00674859"/>
    <w:rsid w:val="006809EB"/>
    <w:rsid w:val="00682C2C"/>
    <w:rsid w:val="00682F81"/>
    <w:rsid w:val="006843EB"/>
    <w:rsid w:val="006921A2"/>
    <w:rsid w:val="0069459C"/>
    <w:rsid w:val="00695590"/>
    <w:rsid w:val="006A1CBC"/>
    <w:rsid w:val="006A575B"/>
    <w:rsid w:val="006A669A"/>
    <w:rsid w:val="006A680D"/>
    <w:rsid w:val="006A70B5"/>
    <w:rsid w:val="006A725C"/>
    <w:rsid w:val="006A7B64"/>
    <w:rsid w:val="006B174C"/>
    <w:rsid w:val="006B2203"/>
    <w:rsid w:val="006B3ADD"/>
    <w:rsid w:val="006B48CB"/>
    <w:rsid w:val="006B4DE7"/>
    <w:rsid w:val="006B632D"/>
    <w:rsid w:val="006C08B9"/>
    <w:rsid w:val="006C15E7"/>
    <w:rsid w:val="006C202B"/>
    <w:rsid w:val="006C2B78"/>
    <w:rsid w:val="006C3843"/>
    <w:rsid w:val="006D0DA6"/>
    <w:rsid w:val="006D0DC7"/>
    <w:rsid w:val="006D45BC"/>
    <w:rsid w:val="006D4B34"/>
    <w:rsid w:val="006D7859"/>
    <w:rsid w:val="006E2AD0"/>
    <w:rsid w:val="006E44E0"/>
    <w:rsid w:val="006E5691"/>
    <w:rsid w:val="006E6D0D"/>
    <w:rsid w:val="006E771E"/>
    <w:rsid w:val="006F0854"/>
    <w:rsid w:val="006F6E87"/>
    <w:rsid w:val="006F7936"/>
    <w:rsid w:val="006F7C09"/>
    <w:rsid w:val="00700CAD"/>
    <w:rsid w:val="00702B70"/>
    <w:rsid w:val="00703A9B"/>
    <w:rsid w:val="00703AD7"/>
    <w:rsid w:val="00703DD4"/>
    <w:rsid w:val="00704A32"/>
    <w:rsid w:val="00704EDA"/>
    <w:rsid w:val="0070729F"/>
    <w:rsid w:val="00707C88"/>
    <w:rsid w:val="00710E2D"/>
    <w:rsid w:val="007110B8"/>
    <w:rsid w:val="0071160E"/>
    <w:rsid w:val="00712E8D"/>
    <w:rsid w:val="007135B5"/>
    <w:rsid w:val="007141AF"/>
    <w:rsid w:val="00720705"/>
    <w:rsid w:val="00721A48"/>
    <w:rsid w:val="00732E96"/>
    <w:rsid w:val="0073388E"/>
    <w:rsid w:val="007344B4"/>
    <w:rsid w:val="00734FCC"/>
    <w:rsid w:val="00736660"/>
    <w:rsid w:val="00741803"/>
    <w:rsid w:val="00741BD9"/>
    <w:rsid w:val="0074469F"/>
    <w:rsid w:val="007451D7"/>
    <w:rsid w:val="00746D5B"/>
    <w:rsid w:val="00750660"/>
    <w:rsid w:val="00750EB2"/>
    <w:rsid w:val="007543DA"/>
    <w:rsid w:val="00754593"/>
    <w:rsid w:val="00756244"/>
    <w:rsid w:val="00757C41"/>
    <w:rsid w:val="00757ECD"/>
    <w:rsid w:val="00760E55"/>
    <w:rsid w:val="00761B13"/>
    <w:rsid w:val="007645E9"/>
    <w:rsid w:val="007649D2"/>
    <w:rsid w:val="00764B07"/>
    <w:rsid w:val="00765E68"/>
    <w:rsid w:val="00771085"/>
    <w:rsid w:val="00773EA2"/>
    <w:rsid w:val="00773F2E"/>
    <w:rsid w:val="0077470F"/>
    <w:rsid w:val="007750AF"/>
    <w:rsid w:val="00776B07"/>
    <w:rsid w:val="00781E5B"/>
    <w:rsid w:val="00786E12"/>
    <w:rsid w:val="007873DA"/>
    <w:rsid w:val="00790898"/>
    <w:rsid w:val="007909AA"/>
    <w:rsid w:val="00790ABE"/>
    <w:rsid w:val="00792C88"/>
    <w:rsid w:val="007939BE"/>
    <w:rsid w:val="00794300"/>
    <w:rsid w:val="0079730F"/>
    <w:rsid w:val="007A14C7"/>
    <w:rsid w:val="007A2F67"/>
    <w:rsid w:val="007A3C4F"/>
    <w:rsid w:val="007A50C1"/>
    <w:rsid w:val="007A65BF"/>
    <w:rsid w:val="007A7140"/>
    <w:rsid w:val="007A7CB2"/>
    <w:rsid w:val="007B0E5E"/>
    <w:rsid w:val="007B19C3"/>
    <w:rsid w:val="007B3CF7"/>
    <w:rsid w:val="007B499B"/>
    <w:rsid w:val="007C362C"/>
    <w:rsid w:val="007C4372"/>
    <w:rsid w:val="007C608C"/>
    <w:rsid w:val="007C6C6A"/>
    <w:rsid w:val="007D0F87"/>
    <w:rsid w:val="007D0F8C"/>
    <w:rsid w:val="007D2118"/>
    <w:rsid w:val="007D413B"/>
    <w:rsid w:val="007E0F0A"/>
    <w:rsid w:val="007E3A75"/>
    <w:rsid w:val="007E4460"/>
    <w:rsid w:val="007E5D49"/>
    <w:rsid w:val="007E6DBB"/>
    <w:rsid w:val="007E743E"/>
    <w:rsid w:val="007E74A5"/>
    <w:rsid w:val="007E7B76"/>
    <w:rsid w:val="007E7E7A"/>
    <w:rsid w:val="007F10C2"/>
    <w:rsid w:val="007F15EF"/>
    <w:rsid w:val="007F178D"/>
    <w:rsid w:val="007F1C06"/>
    <w:rsid w:val="007F2D37"/>
    <w:rsid w:val="007F4839"/>
    <w:rsid w:val="007F4C11"/>
    <w:rsid w:val="007F4E70"/>
    <w:rsid w:val="007F7FA5"/>
    <w:rsid w:val="00800F91"/>
    <w:rsid w:val="0080267E"/>
    <w:rsid w:val="00804DB4"/>
    <w:rsid w:val="008051A6"/>
    <w:rsid w:val="008055EE"/>
    <w:rsid w:val="008128EC"/>
    <w:rsid w:val="00814DAA"/>
    <w:rsid w:val="00815B0F"/>
    <w:rsid w:val="00816DB3"/>
    <w:rsid w:val="00816FDD"/>
    <w:rsid w:val="00817A8C"/>
    <w:rsid w:val="00823E09"/>
    <w:rsid w:val="0082470C"/>
    <w:rsid w:val="00824A28"/>
    <w:rsid w:val="0082549D"/>
    <w:rsid w:val="00825883"/>
    <w:rsid w:val="008263AA"/>
    <w:rsid w:val="00827538"/>
    <w:rsid w:val="00832F01"/>
    <w:rsid w:val="008350D1"/>
    <w:rsid w:val="00837E09"/>
    <w:rsid w:val="0084037C"/>
    <w:rsid w:val="00840F13"/>
    <w:rsid w:val="00841DE1"/>
    <w:rsid w:val="00842033"/>
    <w:rsid w:val="00842490"/>
    <w:rsid w:val="00842FA0"/>
    <w:rsid w:val="0084378C"/>
    <w:rsid w:val="00844B74"/>
    <w:rsid w:val="008460D4"/>
    <w:rsid w:val="00846A12"/>
    <w:rsid w:val="008505D4"/>
    <w:rsid w:val="00851FDF"/>
    <w:rsid w:val="00852873"/>
    <w:rsid w:val="00854AD9"/>
    <w:rsid w:val="008555DC"/>
    <w:rsid w:val="00855C78"/>
    <w:rsid w:val="00856C03"/>
    <w:rsid w:val="00856C4A"/>
    <w:rsid w:val="00857858"/>
    <w:rsid w:val="0086120D"/>
    <w:rsid w:val="00863822"/>
    <w:rsid w:val="00867042"/>
    <w:rsid w:val="0087107C"/>
    <w:rsid w:val="0087407F"/>
    <w:rsid w:val="0087423B"/>
    <w:rsid w:val="00874295"/>
    <w:rsid w:val="00875860"/>
    <w:rsid w:val="00882001"/>
    <w:rsid w:val="00882767"/>
    <w:rsid w:val="00883912"/>
    <w:rsid w:val="00883F65"/>
    <w:rsid w:val="00886FC9"/>
    <w:rsid w:val="00891493"/>
    <w:rsid w:val="00891889"/>
    <w:rsid w:val="00891EA8"/>
    <w:rsid w:val="008921E0"/>
    <w:rsid w:val="00892EBC"/>
    <w:rsid w:val="00893040"/>
    <w:rsid w:val="00893E0B"/>
    <w:rsid w:val="00893FAE"/>
    <w:rsid w:val="00895D3A"/>
    <w:rsid w:val="00896EEB"/>
    <w:rsid w:val="008A2D30"/>
    <w:rsid w:val="008A4ABE"/>
    <w:rsid w:val="008A66B4"/>
    <w:rsid w:val="008B091E"/>
    <w:rsid w:val="008B655F"/>
    <w:rsid w:val="008B65CE"/>
    <w:rsid w:val="008B79B7"/>
    <w:rsid w:val="008B7D1B"/>
    <w:rsid w:val="008B7FE3"/>
    <w:rsid w:val="008C0F18"/>
    <w:rsid w:val="008C465A"/>
    <w:rsid w:val="008C58AE"/>
    <w:rsid w:val="008C74B9"/>
    <w:rsid w:val="008D1B64"/>
    <w:rsid w:val="008D3F8E"/>
    <w:rsid w:val="008D51B5"/>
    <w:rsid w:val="008D7017"/>
    <w:rsid w:val="008D7B2B"/>
    <w:rsid w:val="008E16A6"/>
    <w:rsid w:val="008E1833"/>
    <w:rsid w:val="008E1D9D"/>
    <w:rsid w:val="008E1ED4"/>
    <w:rsid w:val="008E2A51"/>
    <w:rsid w:val="008E3DA2"/>
    <w:rsid w:val="008E683F"/>
    <w:rsid w:val="008E75F1"/>
    <w:rsid w:val="008F0197"/>
    <w:rsid w:val="008F5CE8"/>
    <w:rsid w:val="00900F73"/>
    <w:rsid w:val="009022C3"/>
    <w:rsid w:val="00903D85"/>
    <w:rsid w:val="0090410C"/>
    <w:rsid w:val="00906158"/>
    <w:rsid w:val="009061E0"/>
    <w:rsid w:val="009066E1"/>
    <w:rsid w:val="00911D18"/>
    <w:rsid w:val="00916943"/>
    <w:rsid w:val="00917A8F"/>
    <w:rsid w:val="00921A0F"/>
    <w:rsid w:val="00925735"/>
    <w:rsid w:val="00925E5A"/>
    <w:rsid w:val="00932BF9"/>
    <w:rsid w:val="00934376"/>
    <w:rsid w:val="00942038"/>
    <w:rsid w:val="009439DB"/>
    <w:rsid w:val="00945DE7"/>
    <w:rsid w:val="009460A1"/>
    <w:rsid w:val="0094698F"/>
    <w:rsid w:val="009471D9"/>
    <w:rsid w:val="00947317"/>
    <w:rsid w:val="009521C3"/>
    <w:rsid w:val="009537E0"/>
    <w:rsid w:val="00953C1C"/>
    <w:rsid w:val="0095496F"/>
    <w:rsid w:val="009561C2"/>
    <w:rsid w:val="0095723A"/>
    <w:rsid w:val="009573EA"/>
    <w:rsid w:val="009606F8"/>
    <w:rsid w:val="00961C6D"/>
    <w:rsid w:val="00962328"/>
    <w:rsid w:val="0096322D"/>
    <w:rsid w:val="00963E92"/>
    <w:rsid w:val="00965E52"/>
    <w:rsid w:val="0096646B"/>
    <w:rsid w:val="00966D66"/>
    <w:rsid w:val="00967BEE"/>
    <w:rsid w:val="009712DF"/>
    <w:rsid w:val="009725D9"/>
    <w:rsid w:val="00976F56"/>
    <w:rsid w:val="0098324F"/>
    <w:rsid w:val="00983CB2"/>
    <w:rsid w:val="0099050F"/>
    <w:rsid w:val="00990DA4"/>
    <w:rsid w:val="0099186E"/>
    <w:rsid w:val="00991F2A"/>
    <w:rsid w:val="00992111"/>
    <w:rsid w:val="009922CD"/>
    <w:rsid w:val="00992DBD"/>
    <w:rsid w:val="00993D47"/>
    <w:rsid w:val="0099449C"/>
    <w:rsid w:val="0099456E"/>
    <w:rsid w:val="009958DD"/>
    <w:rsid w:val="0099743D"/>
    <w:rsid w:val="009A11A0"/>
    <w:rsid w:val="009A1DBB"/>
    <w:rsid w:val="009A2218"/>
    <w:rsid w:val="009A254B"/>
    <w:rsid w:val="009A3D9C"/>
    <w:rsid w:val="009A6CB7"/>
    <w:rsid w:val="009B0FB2"/>
    <w:rsid w:val="009B1B7D"/>
    <w:rsid w:val="009B7EE8"/>
    <w:rsid w:val="009C14C6"/>
    <w:rsid w:val="009C1E8E"/>
    <w:rsid w:val="009C2581"/>
    <w:rsid w:val="009C45AD"/>
    <w:rsid w:val="009C4788"/>
    <w:rsid w:val="009C5876"/>
    <w:rsid w:val="009C7B4C"/>
    <w:rsid w:val="009D079E"/>
    <w:rsid w:val="009D2B08"/>
    <w:rsid w:val="009D3225"/>
    <w:rsid w:val="009D3A62"/>
    <w:rsid w:val="009D5C16"/>
    <w:rsid w:val="009D5D96"/>
    <w:rsid w:val="009D6286"/>
    <w:rsid w:val="009D75B6"/>
    <w:rsid w:val="009D7DAE"/>
    <w:rsid w:val="009E0AA3"/>
    <w:rsid w:val="009E27FA"/>
    <w:rsid w:val="009E34D9"/>
    <w:rsid w:val="009E69E1"/>
    <w:rsid w:val="009F0B3B"/>
    <w:rsid w:val="009F3941"/>
    <w:rsid w:val="009F5A2B"/>
    <w:rsid w:val="00A00F6E"/>
    <w:rsid w:val="00A01676"/>
    <w:rsid w:val="00A01BB5"/>
    <w:rsid w:val="00A077A0"/>
    <w:rsid w:val="00A079F3"/>
    <w:rsid w:val="00A109AB"/>
    <w:rsid w:val="00A10FE6"/>
    <w:rsid w:val="00A11058"/>
    <w:rsid w:val="00A17A4E"/>
    <w:rsid w:val="00A200E9"/>
    <w:rsid w:val="00A207C3"/>
    <w:rsid w:val="00A2475B"/>
    <w:rsid w:val="00A25299"/>
    <w:rsid w:val="00A26537"/>
    <w:rsid w:val="00A30F86"/>
    <w:rsid w:val="00A314DD"/>
    <w:rsid w:val="00A31863"/>
    <w:rsid w:val="00A3278A"/>
    <w:rsid w:val="00A329D6"/>
    <w:rsid w:val="00A32E9A"/>
    <w:rsid w:val="00A33815"/>
    <w:rsid w:val="00A35D02"/>
    <w:rsid w:val="00A36470"/>
    <w:rsid w:val="00A5259D"/>
    <w:rsid w:val="00A52C8F"/>
    <w:rsid w:val="00A56ADA"/>
    <w:rsid w:val="00A618B0"/>
    <w:rsid w:val="00A6430B"/>
    <w:rsid w:val="00A736FB"/>
    <w:rsid w:val="00A748F2"/>
    <w:rsid w:val="00A760BA"/>
    <w:rsid w:val="00A7789D"/>
    <w:rsid w:val="00A81154"/>
    <w:rsid w:val="00A84288"/>
    <w:rsid w:val="00A8537E"/>
    <w:rsid w:val="00A85E0D"/>
    <w:rsid w:val="00A86C3C"/>
    <w:rsid w:val="00A879FC"/>
    <w:rsid w:val="00A90309"/>
    <w:rsid w:val="00A90315"/>
    <w:rsid w:val="00A92C6F"/>
    <w:rsid w:val="00A93925"/>
    <w:rsid w:val="00A96114"/>
    <w:rsid w:val="00A96317"/>
    <w:rsid w:val="00A96643"/>
    <w:rsid w:val="00A969AB"/>
    <w:rsid w:val="00A96A6E"/>
    <w:rsid w:val="00AA3E3B"/>
    <w:rsid w:val="00AA3E49"/>
    <w:rsid w:val="00AA4391"/>
    <w:rsid w:val="00AA4F3D"/>
    <w:rsid w:val="00AB1F16"/>
    <w:rsid w:val="00AB255F"/>
    <w:rsid w:val="00AB7165"/>
    <w:rsid w:val="00AC0834"/>
    <w:rsid w:val="00AC1316"/>
    <w:rsid w:val="00AC1FD4"/>
    <w:rsid w:val="00AC2660"/>
    <w:rsid w:val="00AC28A8"/>
    <w:rsid w:val="00AC3982"/>
    <w:rsid w:val="00AC3FC1"/>
    <w:rsid w:val="00AC5A5A"/>
    <w:rsid w:val="00AC7B8D"/>
    <w:rsid w:val="00AD2854"/>
    <w:rsid w:val="00AD2F70"/>
    <w:rsid w:val="00AD308D"/>
    <w:rsid w:val="00AD46BB"/>
    <w:rsid w:val="00AD5BCE"/>
    <w:rsid w:val="00AD5DB3"/>
    <w:rsid w:val="00AD6AC7"/>
    <w:rsid w:val="00AD7FA8"/>
    <w:rsid w:val="00AE4681"/>
    <w:rsid w:val="00AE5B0B"/>
    <w:rsid w:val="00AE708B"/>
    <w:rsid w:val="00AE72B0"/>
    <w:rsid w:val="00AE753E"/>
    <w:rsid w:val="00AF129B"/>
    <w:rsid w:val="00AF4619"/>
    <w:rsid w:val="00AF47C0"/>
    <w:rsid w:val="00AF4804"/>
    <w:rsid w:val="00AF6817"/>
    <w:rsid w:val="00AF6DFE"/>
    <w:rsid w:val="00B014DA"/>
    <w:rsid w:val="00B028C2"/>
    <w:rsid w:val="00B0429A"/>
    <w:rsid w:val="00B04ACD"/>
    <w:rsid w:val="00B05550"/>
    <w:rsid w:val="00B05BEC"/>
    <w:rsid w:val="00B11D6C"/>
    <w:rsid w:val="00B12896"/>
    <w:rsid w:val="00B128EE"/>
    <w:rsid w:val="00B14F2F"/>
    <w:rsid w:val="00B21B91"/>
    <w:rsid w:val="00B26E2E"/>
    <w:rsid w:val="00B275AC"/>
    <w:rsid w:val="00B32D55"/>
    <w:rsid w:val="00B35A06"/>
    <w:rsid w:val="00B36456"/>
    <w:rsid w:val="00B36793"/>
    <w:rsid w:val="00B371E8"/>
    <w:rsid w:val="00B37688"/>
    <w:rsid w:val="00B42B33"/>
    <w:rsid w:val="00B42EAC"/>
    <w:rsid w:val="00B43F7C"/>
    <w:rsid w:val="00B45805"/>
    <w:rsid w:val="00B45968"/>
    <w:rsid w:val="00B45C10"/>
    <w:rsid w:val="00B47343"/>
    <w:rsid w:val="00B47409"/>
    <w:rsid w:val="00B50002"/>
    <w:rsid w:val="00B51410"/>
    <w:rsid w:val="00B5224B"/>
    <w:rsid w:val="00B5335C"/>
    <w:rsid w:val="00B53CF9"/>
    <w:rsid w:val="00B57ABE"/>
    <w:rsid w:val="00B60319"/>
    <w:rsid w:val="00B612A1"/>
    <w:rsid w:val="00B6464C"/>
    <w:rsid w:val="00B648EF"/>
    <w:rsid w:val="00B7031F"/>
    <w:rsid w:val="00B70AE3"/>
    <w:rsid w:val="00B70BFF"/>
    <w:rsid w:val="00B710F7"/>
    <w:rsid w:val="00B744F5"/>
    <w:rsid w:val="00B747C9"/>
    <w:rsid w:val="00B75060"/>
    <w:rsid w:val="00B767F1"/>
    <w:rsid w:val="00B80195"/>
    <w:rsid w:val="00B8108F"/>
    <w:rsid w:val="00B81571"/>
    <w:rsid w:val="00B8415E"/>
    <w:rsid w:val="00B846B7"/>
    <w:rsid w:val="00B84B52"/>
    <w:rsid w:val="00B873CB"/>
    <w:rsid w:val="00B919A9"/>
    <w:rsid w:val="00B93367"/>
    <w:rsid w:val="00B942FE"/>
    <w:rsid w:val="00B943A3"/>
    <w:rsid w:val="00B96530"/>
    <w:rsid w:val="00BA0FE4"/>
    <w:rsid w:val="00BA212A"/>
    <w:rsid w:val="00BA3929"/>
    <w:rsid w:val="00BB2745"/>
    <w:rsid w:val="00BB30D0"/>
    <w:rsid w:val="00BB3C65"/>
    <w:rsid w:val="00BB4BAE"/>
    <w:rsid w:val="00BB5210"/>
    <w:rsid w:val="00BC1500"/>
    <w:rsid w:val="00BC2FE8"/>
    <w:rsid w:val="00BD0EC2"/>
    <w:rsid w:val="00BD299A"/>
    <w:rsid w:val="00BE19AF"/>
    <w:rsid w:val="00BE2066"/>
    <w:rsid w:val="00BE2F76"/>
    <w:rsid w:val="00BE3AC6"/>
    <w:rsid w:val="00BE4E46"/>
    <w:rsid w:val="00BE5BA6"/>
    <w:rsid w:val="00BF0345"/>
    <w:rsid w:val="00BF1C5F"/>
    <w:rsid w:val="00BF6CEA"/>
    <w:rsid w:val="00C00267"/>
    <w:rsid w:val="00C02285"/>
    <w:rsid w:val="00C025B7"/>
    <w:rsid w:val="00C07BC0"/>
    <w:rsid w:val="00C10C3F"/>
    <w:rsid w:val="00C11D40"/>
    <w:rsid w:val="00C1277A"/>
    <w:rsid w:val="00C12952"/>
    <w:rsid w:val="00C14020"/>
    <w:rsid w:val="00C16113"/>
    <w:rsid w:val="00C210B3"/>
    <w:rsid w:val="00C218C9"/>
    <w:rsid w:val="00C22BC6"/>
    <w:rsid w:val="00C24ED8"/>
    <w:rsid w:val="00C2587F"/>
    <w:rsid w:val="00C260DE"/>
    <w:rsid w:val="00C27519"/>
    <w:rsid w:val="00C331A4"/>
    <w:rsid w:val="00C34918"/>
    <w:rsid w:val="00C35827"/>
    <w:rsid w:val="00C35AC3"/>
    <w:rsid w:val="00C4082A"/>
    <w:rsid w:val="00C4112F"/>
    <w:rsid w:val="00C43025"/>
    <w:rsid w:val="00C4372F"/>
    <w:rsid w:val="00C47EAF"/>
    <w:rsid w:val="00C51B5A"/>
    <w:rsid w:val="00C51FCA"/>
    <w:rsid w:val="00C525A6"/>
    <w:rsid w:val="00C52BCF"/>
    <w:rsid w:val="00C53053"/>
    <w:rsid w:val="00C53276"/>
    <w:rsid w:val="00C55175"/>
    <w:rsid w:val="00C56A75"/>
    <w:rsid w:val="00C60377"/>
    <w:rsid w:val="00C63CD9"/>
    <w:rsid w:val="00C63E51"/>
    <w:rsid w:val="00C63E78"/>
    <w:rsid w:val="00C674BB"/>
    <w:rsid w:val="00C739D0"/>
    <w:rsid w:val="00C77B18"/>
    <w:rsid w:val="00C77FC5"/>
    <w:rsid w:val="00C77FCA"/>
    <w:rsid w:val="00C803D3"/>
    <w:rsid w:val="00C812C8"/>
    <w:rsid w:val="00C81924"/>
    <w:rsid w:val="00C83B0A"/>
    <w:rsid w:val="00C83FBE"/>
    <w:rsid w:val="00C8456A"/>
    <w:rsid w:val="00C84817"/>
    <w:rsid w:val="00C84823"/>
    <w:rsid w:val="00C859FC"/>
    <w:rsid w:val="00C86477"/>
    <w:rsid w:val="00C91F94"/>
    <w:rsid w:val="00C939A1"/>
    <w:rsid w:val="00C94B26"/>
    <w:rsid w:val="00C94FF4"/>
    <w:rsid w:val="00C95C8F"/>
    <w:rsid w:val="00CA0005"/>
    <w:rsid w:val="00CA06E2"/>
    <w:rsid w:val="00CA176F"/>
    <w:rsid w:val="00CA1F7B"/>
    <w:rsid w:val="00CA5EC3"/>
    <w:rsid w:val="00CB1444"/>
    <w:rsid w:val="00CB24E6"/>
    <w:rsid w:val="00CB3D81"/>
    <w:rsid w:val="00CB6A6B"/>
    <w:rsid w:val="00CC1A3F"/>
    <w:rsid w:val="00CC41E2"/>
    <w:rsid w:val="00CC45E5"/>
    <w:rsid w:val="00CD3B6F"/>
    <w:rsid w:val="00CE273C"/>
    <w:rsid w:val="00CE34CD"/>
    <w:rsid w:val="00CF3107"/>
    <w:rsid w:val="00CF7127"/>
    <w:rsid w:val="00D00AAA"/>
    <w:rsid w:val="00D027F5"/>
    <w:rsid w:val="00D04CE7"/>
    <w:rsid w:val="00D07E5C"/>
    <w:rsid w:val="00D101BC"/>
    <w:rsid w:val="00D10708"/>
    <w:rsid w:val="00D1149B"/>
    <w:rsid w:val="00D12215"/>
    <w:rsid w:val="00D14069"/>
    <w:rsid w:val="00D21A2E"/>
    <w:rsid w:val="00D22974"/>
    <w:rsid w:val="00D242E0"/>
    <w:rsid w:val="00D254EB"/>
    <w:rsid w:val="00D26197"/>
    <w:rsid w:val="00D26BAD"/>
    <w:rsid w:val="00D304FA"/>
    <w:rsid w:val="00D30EFD"/>
    <w:rsid w:val="00D33C56"/>
    <w:rsid w:val="00D37550"/>
    <w:rsid w:val="00D44282"/>
    <w:rsid w:val="00D44F5C"/>
    <w:rsid w:val="00D454D8"/>
    <w:rsid w:val="00D45D90"/>
    <w:rsid w:val="00D46A98"/>
    <w:rsid w:val="00D47510"/>
    <w:rsid w:val="00D506A0"/>
    <w:rsid w:val="00D510A4"/>
    <w:rsid w:val="00D53969"/>
    <w:rsid w:val="00D541DD"/>
    <w:rsid w:val="00D55237"/>
    <w:rsid w:val="00D56AD3"/>
    <w:rsid w:val="00D574B7"/>
    <w:rsid w:val="00D577F7"/>
    <w:rsid w:val="00D6006B"/>
    <w:rsid w:val="00D60D0E"/>
    <w:rsid w:val="00D6351F"/>
    <w:rsid w:val="00D64450"/>
    <w:rsid w:val="00D65B2E"/>
    <w:rsid w:val="00D67E33"/>
    <w:rsid w:val="00D712C6"/>
    <w:rsid w:val="00D717F3"/>
    <w:rsid w:val="00D72652"/>
    <w:rsid w:val="00D773F9"/>
    <w:rsid w:val="00D808CE"/>
    <w:rsid w:val="00D81A11"/>
    <w:rsid w:val="00D87623"/>
    <w:rsid w:val="00D87707"/>
    <w:rsid w:val="00D92493"/>
    <w:rsid w:val="00D92979"/>
    <w:rsid w:val="00D92B28"/>
    <w:rsid w:val="00D953B1"/>
    <w:rsid w:val="00D96AE7"/>
    <w:rsid w:val="00D97474"/>
    <w:rsid w:val="00DA13E3"/>
    <w:rsid w:val="00DA2891"/>
    <w:rsid w:val="00DA2C8B"/>
    <w:rsid w:val="00DA2D11"/>
    <w:rsid w:val="00DA5700"/>
    <w:rsid w:val="00DA603B"/>
    <w:rsid w:val="00DB28E5"/>
    <w:rsid w:val="00DB3713"/>
    <w:rsid w:val="00DB4125"/>
    <w:rsid w:val="00DB5B2D"/>
    <w:rsid w:val="00DC0614"/>
    <w:rsid w:val="00DC20DB"/>
    <w:rsid w:val="00DC3082"/>
    <w:rsid w:val="00DC50DE"/>
    <w:rsid w:val="00DC7FC9"/>
    <w:rsid w:val="00DD2FEA"/>
    <w:rsid w:val="00DD5560"/>
    <w:rsid w:val="00DD5B69"/>
    <w:rsid w:val="00DD667F"/>
    <w:rsid w:val="00DD69F3"/>
    <w:rsid w:val="00DD7649"/>
    <w:rsid w:val="00DE0B7E"/>
    <w:rsid w:val="00DE4C75"/>
    <w:rsid w:val="00DE4F86"/>
    <w:rsid w:val="00DE544C"/>
    <w:rsid w:val="00DE5990"/>
    <w:rsid w:val="00DE5BF4"/>
    <w:rsid w:val="00DE5D79"/>
    <w:rsid w:val="00DE67EB"/>
    <w:rsid w:val="00DF6558"/>
    <w:rsid w:val="00DF6CBC"/>
    <w:rsid w:val="00DF6E89"/>
    <w:rsid w:val="00DF71CF"/>
    <w:rsid w:val="00E00802"/>
    <w:rsid w:val="00E01FFA"/>
    <w:rsid w:val="00E05DBD"/>
    <w:rsid w:val="00E06CBB"/>
    <w:rsid w:val="00E075E4"/>
    <w:rsid w:val="00E113AF"/>
    <w:rsid w:val="00E13211"/>
    <w:rsid w:val="00E13C9F"/>
    <w:rsid w:val="00E1516D"/>
    <w:rsid w:val="00E1603C"/>
    <w:rsid w:val="00E16AD6"/>
    <w:rsid w:val="00E17BA2"/>
    <w:rsid w:val="00E224D9"/>
    <w:rsid w:val="00E25448"/>
    <w:rsid w:val="00E27276"/>
    <w:rsid w:val="00E27340"/>
    <w:rsid w:val="00E35AB4"/>
    <w:rsid w:val="00E35FFC"/>
    <w:rsid w:val="00E36860"/>
    <w:rsid w:val="00E368ED"/>
    <w:rsid w:val="00E369D0"/>
    <w:rsid w:val="00E37565"/>
    <w:rsid w:val="00E409BC"/>
    <w:rsid w:val="00E41256"/>
    <w:rsid w:val="00E427FD"/>
    <w:rsid w:val="00E43620"/>
    <w:rsid w:val="00E44907"/>
    <w:rsid w:val="00E45DD0"/>
    <w:rsid w:val="00E47595"/>
    <w:rsid w:val="00E47673"/>
    <w:rsid w:val="00E50B5A"/>
    <w:rsid w:val="00E614F5"/>
    <w:rsid w:val="00E63505"/>
    <w:rsid w:val="00E64E0B"/>
    <w:rsid w:val="00E64F6A"/>
    <w:rsid w:val="00E672C0"/>
    <w:rsid w:val="00E67555"/>
    <w:rsid w:val="00E72C97"/>
    <w:rsid w:val="00E74E47"/>
    <w:rsid w:val="00E756C4"/>
    <w:rsid w:val="00E767FD"/>
    <w:rsid w:val="00E80882"/>
    <w:rsid w:val="00E8312B"/>
    <w:rsid w:val="00E837F7"/>
    <w:rsid w:val="00E85487"/>
    <w:rsid w:val="00E85575"/>
    <w:rsid w:val="00E87A6C"/>
    <w:rsid w:val="00E9019F"/>
    <w:rsid w:val="00E904EA"/>
    <w:rsid w:val="00E917E3"/>
    <w:rsid w:val="00E92312"/>
    <w:rsid w:val="00E926C8"/>
    <w:rsid w:val="00E92E70"/>
    <w:rsid w:val="00E9322A"/>
    <w:rsid w:val="00E9662A"/>
    <w:rsid w:val="00E974D2"/>
    <w:rsid w:val="00EA162A"/>
    <w:rsid w:val="00EA22B3"/>
    <w:rsid w:val="00EA44AF"/>
    <w:rsid w:val="00EA7AAD"/>
    <w:rsid w:val="00EB1AB5"/>
    <w:rsid w:val="00EB1F00"/>
    <w:rsid w:val="00EB3452"/>
    <w:rsid w:val="00EB3AA8"/>
    <w:rsid w:val="00EB3D19"/>
    <w:rsid w:val="00EB3F26"/>
    <w:rsid w:val="00EB7671"/>
    <w:rsid w:val="00EC49F3"/>
    <w:rsid w:val="00ED34BC"/>
    <w:rsid w:val="00ED5519"/>
    <w:rsid w:val="00ED56FA"/>
    <w:rsid w:val="00ED6780"/>
    <w:rsid w:val="00ED743E"/>
    <w:rsid w:val="00EE20F1"/>
    <w:rsid w:val="00EE2CE6"/>
    <w:rsid w:val="00EE390B"/>
    <w:rsid w:val="00EE5079"/>
    <w:rsid w:val="00EE6A5F"/>
    <w:rsid w:val="00EE725D"/>
    <w:rsid w:val="00EF337F"/>
    <w:rsid w:val="00EF3EEA"/>
    <w:rsid w:val="00EF4470"/>
    <w:rsid w:val="00EF44D3"/>
    <w:rsid w:val="00EF7CFA"/>
    <w:rsid w:val="00F00830"/>
    <w:rsid w:val="00F01F91"/>
    <w:rsid w:val="00F029A1"/>
    <w:rsid w:val="00F02D4B"/>
    <w:rsid w:val="00F04BCF"/>
    <w:rsid w:val="00F04DAF"/>
    <w:rsid w:val="00F05EE5"/>
    <w:rsid w:val="00F10CE0"/>
    <w:rsid w:val="00F1197C"/>
    <w:rsid w:val="00F16729"/>
    <w:rsid w:val="00F17DA5"/>
    <w:rsid w:val="00F20750"/>
    <w:rsid w:val="00F20D62"/>
    <w:rsid w:val="00F223D4"/>
    <w:rsid w:val="00F2317E"/>
    <w:rsid w:val="00F27BFE"/>
    <w:rsid w:val="00F304F5"/>
    <w:rsid w:val="00F34368"/>
    <w:rsid w:val="00F3456A"/>
    <w:rsid w:val="00F358D2"/>
    <w:rsid w:val="00F359B2"/>
    <w:rsid w:val="00F37491"/>
    <w:rsid w:val="00F40669"/>
    <w:rsid w:val="00F40C93"/>
    <w:rsid w:val="00F41EA4"/>
    <w:rsid w:val="00F432DE"/>
    <w:rsid w:val="00F434FC"/>
    <w:rsid w:val="00F449C4"/>
    <w:rsid w:val="00F44A02"/>
    <w:rsid w:val="00F45568"/>
    <w:rsid w:val="00F464FF"/>
    <w:rsid w:val="00F46EDB"/>
    <w:rsid w:val="00F474F4"/>
    <w:rsid w:val="00F5345B"/>
    <w:rsid w:val="00F54124"/>
    <w:rsid w:val="00F549EA"/>
    <w:rsid w:val="00F55292"/>
    <w:rsid w:val="00F5548F"/>
    <w:rsid w:val="00F55804"/>
    <w:rsid w:val="00F55E76"/>
    <w:rsid w:val="00F64164"/>
    <w:rsid w:val="00F64888"/>
    <w:rsid w:val="00F64A40"/>
    <w:rsid w:val="00F709EE"/>
    <w:rsid w:val="00F70BE6"/>
    <w:rsid w:val="00F7152D"/>
    <w:rsid w:val="00F73776"/>
    <w:rsid w:val="00F7519E"/>
    <w:rsid w:val="00F75ADF"/>
    <w:rsid w:val="00F80A51"/>
    <w:rsid w:val="00F8231A"/>
    <w:rsid w:val="00F82570"/>
    <w:rsid w:val="00F84263"/>
    <w:rsid w:val="00F844F4"/>
    <w:rsid w:val="00F85100"/>
    <w:rsid w:val="00F85797"/>
    <w:rsid w:val="00F8590F"/>
    <w:rsid w:val="00F86284"/>
    <w:rsid w:val="00F913BA"/>
    <w:rsid w:val="00F920C9"/>
    <w:rsid w:val="00F92330"/>
    <w:rsid w:val="00F92F7C"/>
    <w:rsid w:val="00F9324D"/>
    <w:rsid w:val="00F93F4D"/>
    <w:rsid w:val="00F94E1E"/>
    <w:rsid w:val="00F95858"/>
    <w:rsid w:val="00FA1305"/>
    <w:rsid w:val="00FA4F66"/>
    <w:rsid w:val="00FA7AF5"/>
    <w:rsid w:val="00FB166E"/>
    <w:rsid w:val="00FB4DAF"/>
    <w:rsid w:val="00FB5F9D"/>
    <w:rsid w:val="00FB69EF"/>
    <w:rsid w:val="00FB760E"/>
    <w:rsid w:val="00FB7AA4"/>
    <w:rsid w:val="00FC1D22"/>
    <w:rsid w:val="00FC57AD"/>
    <w:rsid w:val="00FC6CA8"/>
    <w:rsid w:val="00FC6F5B"/>
    <w:rsid w:val="00FC7226"/>
    <w:rsid w:val="00FD14E0"/>
    <w:rsid w:val="00FD254E"/>
    <w:rsid w:val="00FD2758"/>
    <w:rsid w:val="00FD35E4"/>
    <w:rsid w:val="00FD4062"/>
    <w:rsid w:val="00FD5654"/>
    <w:rsid w:val="00FD6124"/>
    <w:rsid w:val="00FD6F4A"/>
    <w:rsid w:val="00FE081E"/>
    <w:rsid w:val="00FE0CDA"/>
    <w:rsid w:val="00FE3313"/>
    <w:rsid w:val="00FE3D67"/>
    <w:rsid w:val="00FE4A50"/>
    <w:rsid w:val="00FE5BBF"/>
    <w:rsid w:val="00FE5C31"/>
    <w:rsid w:val="00FE6051"/>
    <w:rsid w:val="00FE6502"/>
    <w:rsid w:val="00FE78C0"/>
    <w:rsid w:val="00FF251A"/>
    <w:rsid w:val="00FF392E"/>
    <w:rsid w:val="00FF3D33"/>
    <w:rsid w:val="00FF7A7A"/>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5DBA"/>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qFormat/>
    <w:rsid w:val="00395DBA"/>
    <w:pPr>
      <w:keepNext/>
      <w:widowControl w:val="0"/>
      <w:tabs>
        <w:tab w:val="left" w:pos="-720"/>
      </w:tabs>
      <w:suppressAutoHyphens/>
      <w:jc w:val="both"/>
      <w:outlineLvl w:val="0"/>
    </w:pPr>
    <w:rPr>
      <w:rFonts w:ascii="ZapfHumnst BT" w:hAnsi="ZapfHumnst BT"/>
      <w:b/>
      <w:spacing w:val="-3"/>
      <w:sz w:val="22"/>
      <w:szCs w:val="20"/>
      <w:lang w:val="x-none" w:eastAsia="x-none"/>
    </w:rPr>
  </w:style>
  <w:style w:type="paragraph" w:styleId="Ttulo2">
    <w:name w:val="heading 2"/>
    <w:basedOn w:val="Normal"/>
    <w:next w:val="Normal"/>
    <w:link w:val="Ttulo2Car"/>
    <w:uiPriority w:val="9"/>
    <w:qFormat/>
    <w:rsid w:val="00395DBA"/>
    <w:pPr>
      <w:keepNext/>
      <w:ind w:right="-6"/>
      <w:jc w:val="both"/>
      <w:outlineLvl w:val="1"/>
    </w:pPr>
    <w:rPr>
      <w:rFonts w:ascii="Arial" w:hAnsi="Arial"/>
      <w:b/>
      <w:bCs/>
      <w:sz w:val="20"/>
      <w:u w:val="single"/>
    </w:rPr>
  </w:style>
  <w:style w:type="paragraph" w:styleId="Ttulo3">
    <w:name w:val="heading 3"/>
    <w:basedOn w:val="Normal"/>
    <w:next w:val="Normal"/>
    <w:link w:val="Ttulo3Car"/>
    <w:unhideWhenUsed/>
    <w:qFormat/>
    <w:rsid w:val="00395DBA"/>
    <w:pPr>
      <w:keepNext/>
      <w:keepLines/>
      <w:spacing w:before="200"/>
      <w:outlineLvl w:val="2"/>
    </w:pPr>
    <w:rPr>
      <w:rFonts w:ascii="Cambria" w:hAnsi="Cambria"/>
      <w:b/>
      <w:bCs/>
      <w:color w:val="4F81BD"/>
      <w:sz w:val="20"/>
      <w:szCs w:val="20"/>
      <w:lang w:val="es-ES_tradnl" w:eastAsia="x-none"/>
    </w:rPr>
  </w:style>
  <w:style w:type="paragraph" w:styleId="Ttulo4">
    <w:name w:val="heading 4"/>
    <w:basedOn w:val="Normal"/>
    <w:next w:val="Normal"/>
    <w:link w:val="Ttulo4Car"/>
    <w:qFormat/>
    <w:rsid w:val="00395DBA"/>
    <w:pPr>
      <w:widowControl w:val="0"/>
      <w:outlineLvl w:val="3"/>
    </w:pPr>
    <w:rPr>
      <w:rFonts w:ascii="Courier New" w:hAnsi="Courier New"/>
      <w:szCs w:val="20"/>
      <w:lang w:val="es-ES_tradnl" w:eastAsia="es-EC"/>
    </w:rPr>
  </w:style>
  <w:style w:type="paragraph" w:styleId="Ttulo5">
    <w:name w:val="heading 5"/>
    <w:basedOn w:val="Normal"/>
    <w:next w:val="Normal"/>
    <w:link w:val="Ttulo5Car"/>
    <w:unhideWhenUsed/>
    <w:qFormat/>
    <w:rsid w:val="00395DBA"/>
    <w:pPr>
      <w:keepNext/>
      <w:keepLines/>
      <w:spacing w:before="200"/>
      <w:outlineLvl w:val="4"/>
    </w:pPr>
    <w:rPr>
      <w:rFonts w:ascii="Cambria" w:hAnsi="Cambria"/>
      <w:color w:val="243F60"/>
      <w:sz w:val="20"/>
      <w:szCs w:val="20"/>
      <w:lang w:val="es-ES_tradnl" w:eastAsia="x-none"/>
    </w:rPr>
  </w:style>
  <w:style w:type="paragraph" w:styleId="Ttulo6">
    <w:name w:val="heading 6"/>
    <w:basedOn w:val="Normal"/>
    <w:next w:val="Normal"/>
    <w:link w:val="Ttulo6Car"/>
    <w:qFormat/>
    <w:rsid w:val="00395DBA"/>
    <w:pPr>
      <w:spacing w:before="240" w:after="60"/>
      <w:outlineLvl w:val="5"/>
    </w:pPr>
    <w:rPr>
      <w:b/>
      <w:bCs/>
      <w:sz w:val="22"/>
      <w:szCs w:val="22"/>
    </w:rPr>
  </w:style>
  <w:style w:type="paragraph" w:styleId="Ttulo7">
    <w:name w:val="heading 7"/>
    <w:basedOn w:val="Normal"/>
    <w:next w:val="Normal"/>
    <w:link w:val="Ttulo7Car"/>
    <w:qFormat/>
    <w:rsid w:val="00395DBA"/>
    <w:pPr>
      <w:keepNext/>
      <w:outlineLvl w:val="6"/>
    </w:pPr>
    <w:rPr>
      <w:rFonts w:ascii="ZapfHumnst BT" w:eastAsia="Batang" w:hAnsi="ZapfHumnst BT"/>
      <w:b/>
      <w:spacing w:val="-2"/>
      <w:sz w:val="20"/>
      <w:szCs w:val="20"/>
      <w:lang w:val="es-ES_tradnl" w:eastAsia="x-none"/>
    </w:rPr>
  </w:style>
  <w:style w:type="paragraph" w:styleId="Ttulo8">
    <w:name w:val="heading 8"/>
    <w:basedOn w:val="Normal"/>
    <w:next w:val="Normal"/>
    <w:link w:val="Ttulo8Car"/>
    <w:qFormat/>
    <w:rsid w:val="00395DBA"/>
    <w:pPr>
      <w:keepNext/>
      <w:tabs>
        <w:tab w:val="left" w:pos="-288"/>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ind w:left="1418" w:hanging="1418"/>
      <w:jc w:val="both"/>
      <w:outlineLvl w:val="7"/>
    </w:pPr>
    <w:rPr>
      <w:rFonts w:ascii="Tahoma" w:eastAsia="Batang" w:hAnsi="Tahoma"/>
      <w:b/>
      <w:spacing w:val="-2"/>
      <w:sz w:val="20"/>
      <w:szCs w:val="20"/>
      <w:lang w:val="es-ES_tradnl" w:eastAsia="x-none"/>
    </w:rPr>
  </w:style>
  <w:style w:type="paragraph" w:styleId="Ttulo9">
    <w:name w:val="heading 9"/>
    <w:basedOn w:val="Normal"/>
    <w:next w:val="Normal"/>
    <w:link w:val="Ttulo9Car"/>
    <w:qFormat/>
    <w:rsid w:val="00395DBA"/>
    <w:pPr>
      <w:keepNext/>
      <w:outlineLvl w:val="8"/>
    </w:pPr>
    <w:rPr>
      <w:rFonts w:ascii="Tahoma" w:eastAsia="Batang" w:hAnsi="Tahoma"/>
      <w:spacing w:val="-2"/>
      <w:sz w:val="20"/>
      <w:szCs w:val="20"/>
      <w:u w:val="single"/>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395DBA"/>
    <w:rPr>
      <w:rFonts w:ascii="ZapfHumnst BT" w:eastAsia="Times New Roman" w:hAnsi="ZapfHumnst BT" w:cs="Times New Roman"/>
      <w:b/>
      <w:spacing w:val="-3"/>
      <w:szCs w:val="20"/>
      <w:lang w:val="x-none" w:eastAsia="x-none"/>
    </w:rPr>
  </w:style>
  <w:style w:type="character" w:customStyle="1" w:styleId="Ttulo2Car">
    <w:name w:val="Título 2 Car"/>
    <w:basedOn w:val="Fuentedeprrafopredeter"/>
    <w:link w:val="Ttulo2"/>
    <w:uiPriority w:val="9"/>
    <w:rsid w:val="00395DBA"/>
    <w:rPr>
      <w:rFonts w:ascii="Arial" w:eastAsia="Times New Roman" w:hAnsi="Arial" w:cs="Times New Roman"/>
      <w:b/>
      <w:bCs/>
      <w:sz w:val="20"/>
      <w:szCs w:val="24"/>
      <w:u w:val="single"/>
      <w:lang w:val="es-ES" w:eastAsia="es-ES"/>
    </w:rPr>
  </w:style>
  <w:style w:type="character" w:customStyle="1" w:styleId="Ttulo3Car">
    <w:name w:val="Título 3 Car"/>
    <w:basedOn w:val="Fuentedeprrafopredeter"/>
    <w:link w:val="Ttulo3"/>
    <w:rsid w:val="00395DBA"/>
    <w:rPr>
      <w:rFonts w:ascii="Cambria" w:eastAsia="Times New Roman" w:hAnsi="Cambria" w:cs="Times New Roman"/>
      <w:b/>
      <w:bCs/>
      <w:color w:val="4F81BD"/>
      <w:sz w:val="20"/>
      <w:szCs w:val="20"/>
      <w:lang w:val="es-ES_tradnl" w:eastAsia="x-none"/>
    </w:rPr>
  </w:style>
  <w:style w:type="character" w:customStyle="1" w:styleId="Ttulo4Car">
    <w:name w:val="Título 4 Car"/>
    <w:basedOn w:val="Fuentedeprrafopredeter"/>
    <w:link w:val="Ttulo4"/>
    <w:rsid w:val="00395DBA"/>
    <w:rPr>
      <w:rFonts w:ascii="Courier New" w:eastAsia="Times New Roman" w:hAnsi="Courier New" w:cs="Times New Roman"/>
      <w:sz w:val="24"/>
      <w:szCs w:val="20"/>
      <w:lang w:val="es-ES_tradnl" w:eastAsia="es-EC"/>
    </w:rPr>
  </w:style>
  <w:style w:type="character" w:customStyle="1" w:styleId="Ttulo5Car">
    <w:name w:val="Título 5 Car"/>
    <w:basedOn w:val="Fuentedeprrafopredeter"/>
    <w:link w:val="Ttulo5"/>
    <w:rsid w:val="00395DBA"/>
    <w:rPr>
      <w:rFonts w:ascii="Cambria" w:eastAsia="Times New Roman" w:hAnsi="Cambria" w:cs="Times New Roman"/>
      <w:color w:val="243F60"/>
      <w:sz w:val="20"/>
      <w:szCs w:val="20"/>
      <w:lang w:val="es-ES_tradnl" w:eastAsia="x-none"/>
    </w:rPr>
  </w:style>
  <w:style w:type="character" w:customStyle="1" w:styleId="Ttulo6Car">
    <w:name w:val="Título 6 Car"/>
    <w:basedOn w:val="Fuentedeprrafopredeter"/>
    <w:link w:val="Ttulo6"/>
    <w:rsid w:val="00395DBA"/>
    <w:rPr>
      <w:rFonts w:ascii="Times New Roman" w:eastAsia="Times New Roman" w:hAnsi="Times New Roman" w:cs="Times New Roman"/>
      <w:b/>
      <w:bCs/>
      <w:lang w:val="es-ES" w:eastAsia="es-ES"/>
    </w:rPr>
  </w:style>
  <w:style w:type="character" w:customStyle="1" w:styleId="Ttulo7Car">
    <w:name w:val="Título 7 Car"/>
    <w:basedOn w:val="Fuentedeprrafopredeter"/>
    <w:link w:val="Ttulo7"/>
    <w:rsid w:val="00395DBA"/>
    <w:rPr>
      <w:rFonts w:ascii="ZapfHumnst BT" w:eastAsia="Batang" w:hAnsi="ZapfHumnst BT" w:cs="Times New Roman"/>
      <w:b/>
      <w:spacing w:val="-2"/>
      <w:sz w:val="20"/>
      <w:szCs w:val="20"/>
      <w:lang w:val="es-ES_tradnl" w:eastAsia="x-none"/>
    </w:rPr>
  </w:style>
  <w:style w:type="character" w:customStyle="1" w:styleId="Ttulo8Car">
    <w:name w:val="Título 8 Car"/>
    <w:basedOn w:val="Fuentedeprrafopredeter"/>
    <w:link w:val="Ttulo8"/>
    <w:rsid w:val="00395DBA"/>
    <w:rPr>
      <w:rFonts w:ascii="Tahoma" w:eastAsia="Batang" w:hAnsi="Tahoma" w:cs="Times New Roman"/>
      <w:b/>
      <w:spacing w:val="-2"/>
      <w:sz w:val="20"/>
      <w:szCs w:val="20"/>
      <w:lang w:val="es-ES_tradnl" w:eastAsia="x-none"/>
    </w:rPr>
  </w:style>
  <w:style w:type="character" w:customStyle="1" w:styleId="Ttulo9Car">
    <w:name w:val="Título 9 Car"/>
    <w:basedOn w:val="Fuentedeprrafopredeter"/>
    <w:link w:val="Ttulo9"/>
    <w:rsid w:val="00395DBA"/>
    <w:rPr>
      <w:rFonts w:ascii="Tahoma" w:eastAsia="Batang" w:hAnsi="Tahoma" w:cs="Times New Roman"/>
      <w:spacing w:val="-2"/>
      <w:sz w:val="20"/>
      <w:szCs w:val="20"/>
      <w:u w:val="single"/>
      <w:lang w:val="es-ES_tradnl" w:eastAsia="x-none"/>
    </w:rPr>
  </w:style>
  <w:style w:type="paragraph" w:styleId="Sangradetextonormal">
    <w:name w:val="Body Text Indent"/>
    <w:basedOn w:val="Normal"/>
    <w:link w:val="SangradetextonormalCar"/>
    <w:rsid w:val="00395DBA"/>
    <w:pPr>
      <w:widowControl w:val="0"/>
      <w:tabs>
        <w:tab w:val="left" w:pos="-720"/>
        <w:tab w:val="left" w:pos="567"/>
      </w:tabs>
      <w:suppressAutoHyphens/>
      <w:ind w:left="567" w:hanging="567"/>
    </w:pPr>
    <w:rPr>
      <w:rFonts w:ascii="ZapfHumnst BT" w:hAnsi="ZapfHumnst BT"/>
      <w:spacing w:val="-3"/>
      <w:sz w:val="22"/>
      <w:szCs w:val="20"/>
      <w:lang w:val="x-none" w:eastAsia="x-none"/>
    </w:rPr>
  </w:style>
  <w:style w:type="character" w:customStyle="1" w:styleId="SangradetextonormalCar">
    <w:name w:val="Sangría de texto normal Car"/>
    <w:basedOn w:val="Fuentedeprrafopredeter"/>
    <w:link w:val="Sangradetextonormal"/>
    <w:rsid w:val="00395DBA"/>
    <w:rPr>
      <w:rFonts w:ascii="ZapfHumnst BT" w:eastAsia="Times New Roman" w:hAnsi="ZapfHumnst BT" w:cs="Times New Roman"/>
      <w:spacing w:val="-3"/>
      <w:szCs w:val="20"/>
      <w:lang w:val="x-none" w:eastAsia="x-none"/>
    </w:rPr>
  </w:style>
  <w:style w:type="paragraph" w:styleId="Textoindependiente">
    <w:name w:val="Body Text"/>
    <w:basedOn w:val="Normal"/>
    <w:link w:val="TextoindependienteCar"/>
    <w:rsid w:val="00395DBA"/>
    <w:pPr>
      <w:widowControl w:val="0"/>
      <w:jc w:val="both"/>
    </w:pPr>
    <w:rPr>
      <w:rFonts w:ascii="ZapfHumnst BT" w:hAnsi="ZapfHumnst BT"/>
      <w:sz w:val="22"/>
      <w:szCs w:val="20"/>
      <w:lang w:val="es-EC" w:eastAsia="es-EC"/>
    </w:rPr>
  </w:style>
  <w:style w:type="character" w:customStyle="1" w:styleId="TextoindependienteCar">
    <w:name w:val="Texto independiente Car"/>
    <w:basedOn w:val="Fuentedeprrafopredeter"/>
    <w:link w:val="Textoindependiente"/>
    <w:rsid w:val="00395DBA"/>
    <w:rPr>
      <w:rFonts w:ascii="ZapfHumnst BT" w:eastAsia="Times New Roman" w:hAnsi="ZapfHumnst BT" w:cs="Times New Roman"/>
      <w:szCs w:val="20"/>
      <w:lang w:eastAsia="es-EC"/>
    </w:rPr>
  </w:style>
  <w:style w:type="paragraph" w:styleId="Sangra3detindependiente">
    <w:name w:val="Body Text Indent 3"/>
    <w:basedOn w:val="Normal"/>
    <w:link w:val="Sangra3detindependienteCar"/>
    <w:rsid w:val="00395DBA"/>
    <w:pPr>
      <w:widowControl w:val="0"/>
      <w:tabs>
        <w:tab w:val="left" w:pos="-720"/>
      </w:tabs>
      <w:suppressAutoHyphens/>
      <w:ind w:left="709" w:hanging="709"/>
      <w:jc w:val="both"/>
    </w:pPr>
    <w:rPr>
      <w:rFonts w:ascii="ZapfHumnst BT" w:hAnsi="ZapfHumnst BT"/>
      <w:spacing w:val="-3"/>
      <w:sz w:val="22"/>
      <w:szCs w:val="20"/>
      <w:lang w:val="x-none" w:eastAsia="x-none"/>
    </w:rPr>
  </w:style>
  <w:style w:type="character" w:customStyle="1" w:styleId="Sangra3detindependienteCar">
    <w:name w:val="Sangría 3 de t. independiente Car"/>
    <w:basedOn w:val="Fuentedeprrafopredeter"/>
    <w:link w:val="Sangra3detindependiente"/>
    <w:rsid w:val="00395DBA"/>
    <w:rPr>
      <w:rFonts w:ascii="ZapfHumnst BT" w:eastAsia="Times New Roman" w:hAnsi="ZapfHumnst BT" w:cs="Times New Roman"/>
      <w:spacing w:val="-3"/>
      <w:szCs w:val="20"/>
      <w:lang w:val="x-none" w:eastAsia="x-none"/>
    </w:rPr>
  </w:style>
  <w:style w:type="paragraph" w:customStyle="1" w:styleId="just">
    <w:name w:val="just"/>
    <w:basedOn w:val="Normal"/>
    <w:rsid w:val="00395DBA"/>
    <w:pPr>
      <w:overflowPunct w:val="0"/>
      <w:autoSpaceDE w:val="0"/>
      <w:autoSpaceDN w:val="0"/>
      <w:adjustRightInd w:val="0"/>
      <w:ind w:left="1260"/>
      <w:jc w:val="both"/>
      <w:textAlignment w:val="baseline"/>
    </w:pPr>
    <w:rPr>
      <w:rFonts w:ascii="Times" w:hAnsi="Times"/>
      <w:sz w:val="20"/>
      <w:szCs w:val="20"/>
      <w:lang w:eastAsia="en-US"/>
    </w:rPr>
  </w:style>
  <w:style w:type="paragraph" w:customStyle="1" w:styleId="justificado">
    <w:name w:val="justificado"/>
    <w:basedOn w:val="Normal"/>
    <w:rsid w:val="00395DBA"/>
    <w:pPr>
      <w:tabs>
        <w:tab w:val="left" w:pos="7200"/>
      </w:tabs>
      <w:overflowPunct w:val="0"/>
      <w:autoSpaceDE w:val="0"/>
      <w:autoSpaceDN w:val="0"/>
      <w:adjustRightInd w:val="0"/>
      <w:ind w:left="900"/>
      <w:jc w:val="both"/>
      <w:textAlignment w:val="baseline"/>
    </w:pPr>
    <w:rPr>
      <w:rFonts w:ascii="Times" w:hAnsi="Times"/>
      <w:sz w:val="20"/>
      <w:szCs w:val="20"/>
      <w:lang w:eastAsia="en-US"/>
    </w:rPr>
  </w:style>
  <w:style w:type="paragraph" w:styleId="Textodebloque">
    <w:name w:val="Block Text"/>
    <w:basedOn w:val="Normal"/>
    <w:rsid w:val="00395DBA"/>
    <w:pPr>
      <w:widowControl w:val="0"/>
      <w:ind w:left="567" w:right="-6"/>
      <w:jc w:val="both"/>
    </w:pPr>
    <w:rPr>
      <w:rFonts w:ascii="Arial" w:hAnsi="Arial" w:cs="Arial"/>
      <w:bCs/>
      <w:sz w:val="20"/>
      <w:lang w:val="es-EC" w:eastAsia="es-EC"/>
    </w:rPr>
  </w:style>
  <w:style w:type="paragraph" w:customStyle="1" w:styleId="2">
    <w:name w:val="2"/>
    <w:basedOn w:val="Normal"/>
    <w:rsid w:val="00395DBA"/>
    <w:pPr>
      <w:tabs>
        <w:tab w:val="left" w:pos="900"/>
        <w:tab w:val="left" w:pos="1080"/>
        <w:tab w:val="left" w:pos="1260"/>
        <w:tab w:val="left" w:pos="1440"/>
        <w:tab w:val="left" w:pos="6120"/>
        <w:tab w:val="decimal" w:pos="6930"/>
        <w:tab w:val="decimal" w:pos="7380"/>
        <w:tab w:val="decimal" w:pos="8550"/>
        <w:tab w:val="decimal" w:pos="9000"/>
      </w:tabs>
      <w:overflowPunct w:val="0"/>
      <w:autoSpaceDE w:val="0"/>
      <w:autoSpaceDN w:val="0"/>
      <w:adjustRightInd w:val="0"/>
      <w:ind w:left="720" w:right="-18" w:hanging="720"/>
      <w:jc w:val="both"/>
      <w:textAlignment w:val="baseline"/>
    </w:pPr>
    <w:rPr>
      <w:rFonts w:ascii="Times" w:hAnsi="Times"/>
      <w:sz w:val="20"/>
      <w:szCs w:val="20"/>
      <w:lang w:eastAsia="en-US"/>
    </w:rPr>
  </w:style>
  <w:style w:type="paragraph" w:customStyle="1" w:styleId="V-1">
    <w:name w:val="V-1"/>
    <w:basedOn w:val="Normal"/>
    <w:rsid w:val="00395DBA"/>
    <w:pPr>
      <w:overflowPunct w:val="0"/>
      <w:autoSpaceDE w:val="0"/>
      <w:autoSpaceDN w:val="0"/>
      <w:adjustRightInd w:val="0"/>
      <w:ind w:left="560" w:right="42" w:hanging="560"/>
      <w:jc w:val="both"/>
      <w:textAlignment w:val="baseline"/>
    </w:pPr>
    <w:rPr>
      <w:rFonts w:ascii="Times" w:hAnsi="Times"/>
      <w:sz w:val="20"/>
      <w:szCs w:val="20"/>
      <w:lang w:eastAsia="en-US"/>
    </w:rPr>
  </w:style>
  <w:style w:type="paragraph" w:styleId="Encabezado">
    <w:name w:val="header"/>
    <w:basedOn w:val="Normal"/>
    <w:link w:val="EncabezadoCar"/>
    <w:uiPriority w:val="99"/>
    <w:rsid w:val="00395DBA"/>
    <w:pPr>
      <w:tabs>
        <w:tab w:val="center" w:pos="4252"/>
        <w:tab w:val="right" w:pos="8504"/>
      </w:tabs>
    </w:pPr>
  </w:style>
  <w:style w:type="character" w:customStyle="1" w:styleId="EncabezadoCar">
    <w:name w:val="Encabezado Car"/>
    <w:basedOn w:val="Fuentedeprrafopredeter"/>
    <w:link w:val="Encabezado"/>
    <w:uiPriority w:val="99"/>
    <w:rsid w:val="00395DBA"/>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rsid w:val="00395DBA"/>
    <w:pPr>
      <w:tabs>
        <w:tab w:val="center" w:pos="4252"/>
        <w:tab w:val="right" w:pos="8504"/>
      </w:tabs>
    </w:pPr>
  </w:style>
  <w:style w:type="character" w:customStyle="1" w:styleId="PiedepginaCar">
    <w:name w:val="Pie de página Car"/>
    <w:basedOn w:val="Fuentedeprrafopredeter"/>
    <w:link w:val="Piedepgina"/>
    <w:uiPriority w:val="99"/>
    <w:rsid w:val="00395DBA"/>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rsid w:val="00395DBA"/>
    <w:rPr>
      <w:rFonts w:ascii="Arial" w:hAnsi="Arial"/>
      <w:sz w:val="20"/>
      <w:lang w:val="es-EC" w:eastAsia="x-none"/>
    </w:rPr>
  </w:style>
  <w:style w:type="character" w:customStyle="1" w:styleId="Textoindependiente2Car">
    <w:name w:val="Texto independiente 2 Car"/>
    <w:basedOn w:val="Fuentedeprrafopredeter"/>
    <w:link w:val="Textoindependiente2"/>
    <w:rsid w:val="00395DBA"/>
    <w:rPr>
      <w:rFonts w:ascii="Arial" w:eastAsia="Times New Roman" w:hAnsi="Arial" w:cs="Times New Roman"/>
      <w:sz w:val="20"/>
      <w:szCs w:val="24"/>
      <w:lang w:eastAsia="x-none"/>
    </w:rPr>
  </w:style>
  <w:style w:type="paragraph" w:customStyle="1" w:styleId="Textodenotaalfinal">
    <w:name w:val="Texto de nota al final"/>
    <w:basedOn w:val="Normal"/>
    <w:rsid w:val="00395DBA"/>
    <w:pPr>
      <w:widowControl w:val="0"/>
    </w:pPr>
    <w:rPr>
      <w:rFonts w:ascii="Courier New" w:hAnsi="Courier New"/>
      <w:szCs w:val="20"/>
      <w:lang w:val="es-EC" w:eastAsia="es-EC"/>
    </w:rPr>
  </w:style>
  <w:style w:type="character" w:customStyle="1" w:styleId="MapadeldocumentoCar">
    <w:name w:val="Mapa del documento Car"/>
    <w:basedOn w:val="Fuentedeprrafopredeter"/>
    <w:link w:val="Mapadeldocumento"/>
    <w:semiHidden/>
    <w:rsid w:val="00395DBA"/>
    <w:rPr>
      <w:rFonts w:ascii="Tahoma" w:eastAsia="Times New Roman" w:hAnsi="Tahoma" w:cs="Times New Roman"/>
      <w:sz w:val="20"/>
      <w:szCs w:val="20"/>
      <w:shd w:val="clear" w:color="auto" w:fill="000080"/>
      <w:lang w:val="es-ES" w:eastAsia="es-ES"/>
    </w:rPr>
  </w:style>
  <w:style w:type="paragraph" w:styleId="Mapadeldocumento">
    <w:name w:val="Document Map"/>
    <w:basedOn w:val="Normal"/>
    <w:link w:val="MapadeldocumentoCar"/>
    <w:semiHidden/>
    <w:rsid w:val="00395DBA"/>
    <w:pPr>
      <w:shd w:val="clear" w:color="auto" w:fill="000080"/>
    </w:pPr>
    <w:rPr>
      <w:rFonts w:ascii="Tahoma" w:hAnsi="Tahoma"/>
      <w:sz w:val="20"/>
      <w:szCs w:val="20"/>
    </w:rPr>
  </w:style>
  <w:style w:type="character" w:customStyle="1" w:styleId="TextodegloboCar">
    <w:name w:val="Texto de globo Car"/>
    <w:basedOn w:val="Fuentedeprrafopredeter"/>
    <w:link w:val="Textodeglobo"/>
    <w:semiHidden/>
    <w:rsid w:val="00395DBA"/>
    <w:rPr>
      <w:rFonts w:ascii="Tahoma" w:eastAsia="Times New Roman" w:hAnsi="Tahoma" w:cs="Times New Roman"/>
      <w:sz w:val="16"/>
      <w:szCs w:val="16"/>
      <w:lang w:val="es-ES" w:eastAsia="es-ES"/>
    </w:rPr>
  </w:style>
  <w:style w:type="paragraph" w:styleId="Textodeglobo">
    <w:name w:val="Balloon Text"/>
    <w:basedOn w:val="Normal"/>
    <w:link w:val="TextodegloboCar"/>
    <w:semiHidden/>
    <w:rsid w:val="00395DBA"/>
    <w:rPr>
      <w:rFonts w:ascii="Tahoma" w:hAnsi="Tahoma"/>
      <w:sz w:val="16"/>
      <w:szCs w:val="16"/>
    </w:rPr>
  </w:style>
  <w:style w:type="paragraph" w:customStyle="1" w:styleId="Default">
    <w:name w:val="Default"/>
    <w:rsid w:val="00395DBA"/>
    <w:pPr>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styleId="Textonotapie">
    <w:name w:val="footnote text"/>
    <w:basedOn w:val="Normal"/>
    <w:link w:val="TextonotapieCar"/>
    <w:rsid w:val="00395DBA"/>
    <w:rPr>
      <w:sz w:val="20"/>
      <w:szCs w:val="20"/>
    </w:rPr>
  </w:style>
  <w:style w:type="character" w:customStyle="1" w:styleId="TextonotapieCar">
    <w:name w:val="Texto nota pie Car"/>
    <w:basedOn w:val="Fuentedeprrafopredeter"/>
    <w:link w:val="Textonotapie"/>
    <w:rsid w:val="00395DBA"/>
    <w:rPr>
      <w:rFonts w:ascii="Times New Roman" w:eastAsia="Times New Roman" w:hAnsi="Times New Roman" w:cs="Times New Roman"/>
      <w:sz w:val="20"/>
      <w:szCs w:val="20"/>
      <w:lang w:val="es-ES" w:eastAsia="es-ES"/>
    </w:rPr>
  </w:style>
  <w:style w:type="character" w:styleId="Refdenotaalpie">
    <w:name w:val="footnote reference"/>
    <w:rsid w:val="00395DBA"/>
    <w:rPr>
      <w:vertAlign w:val="superscript"/>
    </w:rPr>
  </w:style>
  <w:style w:type="table" w:styleId="Tablaconcuadrcula">
    <w:name w:val="Table Grid"/>
    <w:basedOn w:val="Tablanormal"/>
    <w:uiPriority w:val="39"/>
    <w:rsid w:val="00395DBA"/>
    <w:pPr>
      <w:spacing w:after="0" w:line="240" w:lineRule="auto"/>
    </w:pPr>
    <w:rPr>
      <w:rFonts w:ascii="Times New Roman" w:eastAsia="Times New Roman" w:hAnsi="Times New Roman" w:cs="Times New Roman"/>
      <w:sz w:val="20"/>
      <w:szCs w:val="20"/>
      <w:lang w:eastAsia="es-EC"/>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rrafodelista">
    <w:name w:val="List Paragraph"/>
    <w:basedOn w:val="Normal"/>
    <w:link w:val="PrrafodelistaCar"/>
    <w:uiPriority w:val="34"/>
    <w:qFormat/>
    <w:rsid w:val="00395DBA"/>
    <w:pPr>
      <w:spacing w:before="120" w:after="120"/>
      <w:ind w:left="720"/>
      <w:contextualSpacing/>
      <w:jc w:val="both"/>
    </w:pPr>
    <w:rPr>
      <w:lang w:val="es-EC"/>
    </w:rPr>
  </w:style>
  <w:style w:type="character" w:customStyle="1" w:styleId="PrrafodelistaCar">
    <w:name w:val="Párrafo de lista Car"/>
    <w:link w:val="Prrafodelista"/>
    <w:uiPriority w:val="34"/>
    <w:rsid w:val="00395DBA"/>
    <w:rPr>
      <w:rFonts w:ascii="Times New Roman" w:eastAsia="Times New Roman" w:hAnsi="Times New Roman" w:cs="Times New Roman"/>
      <w:sz w:val="24"/>
      <w:szCs w:val="24"/>
      <w:lang w:eastAsia="es-ES"/>
    </w:rPr>
  </w:style>
  <w:style w:type="character" w:styleId="Refdecomentario">
    <w:name w:val="annotation reference"/>
    <w:rsid w:val="00395DBA"/>
    <w:rPr>
      <w:sz w:val="16"/>
      <w:szCs w:val="16"/>
    </w:rPr>
  </w:style>
  <w:style w:type="paragraph" w:styleId="Textocomentario">
    <w:name w:val="annotation text"/>
    <w:basedOn w:val="Normal"/>
    <w:link w:val="TextocomentarioCar"/>
    <w:rsid w:val="00395DBA"/>
    <w:rPr>
      <w:sz w:val="20"/>
      <w:szCs w:val="20"/>
    </w:rPr>
  </w:style>
  <w:style w:type="character" w:customStyle="1" w:styleId="TextocomentarioCar">
    <w:name w:val="Texto comentario Car"/>
    <w:basedOn w:val="Fuentedeprrafopredeter"/>
    <w:link w:val="Textocomentario"/>
    <w:rsid w:val="00395DBA"/>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rsid w:val="00395DBA"/>
    <w:rPr>
      <w:b/>
      <w:bCs/>
    </w:rPr>
  </w:style>
  <w:style w:type="character" w:customStyle="1" w:styleId="AsuntodelcomentarioCar">
    <w:name w:val="Asunto del comentario Car"/>
    <w:basedOn w:val="TextocomentarioCar"/>
    <w:link w:val="Asuntodelcomentario"/>
    <w:rsid w:val="00395DBA"/>
    <w:rPr>
      <w:rFonts w:ascii="Times New Roman" w:eastAsia="Times New Roman" w:hAnsi="Times New Roman" w:cs="Times New Roman"/>
      <w:b/>
      <w:bCs/>
      <w:sz w:val="20"/>
      <w:szCs w:val="20"/>
      <w:lang w:val="es-ES" w:eastAsia="es-ES"/>
    </w:rPr>
  </w:style>
  <w:style w:type="paragraph" w:customStyle="1" w:styleId="EYNormalTexto">
    <w:name w:val="EY Normal Texto"/>
    <w:basedOn w:val="Normal"/>
    <w:link w:val="EYNormalTextoChar"/>
    <w:uiPriority w:val="99"/>
    <w:rsid w:val="00395DBA"/>
    <w:pPr>
      <w:widowControl w:val="0"/>
      <w:adjustRightInd w:val="0"/>
      <w:spacing w:line="300" w:lineRule="exact"/>
      <w:jc w:val="both"/>
      <w:textAlignment w:val="baseline"/>
    </w:pPr>
    <w:rPr>
      <w:rFonts w:ascii="EYInterstate" w:hAnsi="EYInterstate"/>
      <w:sz w:val="18"/>
      <w:szCs w:val="18"/>
      <w:lang w:val="x-none"/>
    </w:rPr>
  </w:style>
  <w:style w:type="character" w:customStyle="1" w:styleId="EYNormalTextoChar">
    <w:name w:val="EY Normal Texto Char"/>
    <w:link w:val="EYNormalTexto"/>
    <w:uiPriority w:val="99"/>
    <w:rsid w:val="00395DBA"/>
    <w:rPr>
      <w:rFonts w:ascii="EYInterstate" w:eastAsia="Times New Roman" w:hAnsi="EYInterstate" w:cs="Times New Roman"/>
      <w:sz w:val="18"/>
      <w:szCs w:val="18"/>
      <w:lang w:val="x-none" w:eastAsia="es-ES"/>
    </w:rPr>
  </w:style>
  <w:style w:type="paragraph" w:customStyle="1" w:styleId="EYLineaSubTotal">
    <w:name w:val="EY Linea Sub Total"/>
    <w:basedOn w:val="EYNormalTexto"/>
    <w:link w:val="EYLineaSubTotalChar"/>
    <w:rsid w:val="00395DBA"/>
    <w:pPr>
      <w:spacing w:line="100" w:lineRule="exact"/>
    </w:pPr>
    <w:rPr>
      <w:position w:val="4"/>
    </w:rPr>
  </w:style>
  <w:style w:type="character" w:customStyle="1" w:styleId="EYLineaSubTotalChar">
    <w:name w:val="EY Linea Sub Total Char"/>
    <w:link w:val="EYLineaSubTotal"/>
    <w:rsid w:val="00395DBA"/>
    <w:rPr>
      <w:rFonts w:ascii="EYInterstate" w:eastAsia="Times New Roman" w:hAnsi="EYInterstate" w:cs="Times New Roman"/>
      <w:position w:val="4"/>
      <w:sz w:val="18"/>
      <w:szCs w:val="18"/>
      <w:lang w:val="x-none" w:eastAsia="es-ES"/>
    </w:rPr>
  </w:style>
  <w:style w:type="paragraph" w:customStyle="1" w:styleId="EYTituloColumna">
    <w:name w:val="EY Titulo Columna"/>
    <w:basedOn w:val="EYNormalTexto"/>
    <w:link w:val="EYTituloColumnaChar"/>
    <w:rsid w:val="00395DBA"/>
    <w:pPr>
      <w:spacing w:line="240" w:lineRule="exact"/>
      <w:jc w:val="center"/>
    </w:pPr>
    <w:rPr>
      <w:b/>
    </w:rPr>
  </w:style>
  <w:style w:type="character" w:customStyle="1" w:styleId="EYTituloColumnaChar">
    <w:name w:val="EY Titulo Columna Char"/>
    <w:link w:val="EYTituloColumna"/>
    <w:rsid w:val="00395DBA"/>
    <w:rPr>
      <w:rFonts w:ascii="EYInterstate" w:eastAsia="Times New Roman" w:hAnsi="EYInterstate" w:cs="Times New Roman"/>
      <w:b/>
      <w:sz w:val="18"/>
      <w:szCs w:val="18"/>
      <w:lang w:val="x-none" w:eastAsia="es-ES"/>
    </w:rPr>
  </w:style>
  <w:style w:type="paragraph" w:customStyle="1" w:styleId="TextePrinc">
    <w:name w:val="TextePrinc"/>
    <w:basedOn w:val="Normal"/>
    <w:uiPriority w:val="99"/>
    <w:rsid w:val="00395DBA"/>
    <w:pPr>
      <w:tabs>
        <w:tab w:val="left" w:pos="1413"/>
        <w:tab w:val="left" w:pos="2122"/>
        <w:tab w:val="left" w:pos="2832"/>
        <w:tab w:val="left" w:pos="3538"/>
        <w:tab w:val="left" w:pos="4248"/>
        <w:tab w:val="left" w:pos="4957"/>
        <w:tab w:val="left" w:pos="5661"/>
        <w:tab w:val="left" w:pos="6368"/>
        <w:tab w:val="left" w:pos="7077"/>
        <w:tab w:val="left" w:pos="7787"/>
        <w:tab w:val="left" w:pos="8496"/>
      </w:tabs>
      <w:overflowPunct w:val="0"/>
      <w:autoSpaceDE w:val="0"/>
      <w:autoSpaceDN w:val="0"/>
      <w:adjustRightInd w:val="0"/>
      <w:textAlignment w:val="baseline"/>
    </w:pPr>
    <w:rPr>
      <w:rFonts w:ascii="Arial" w:hAnsi="Arial"/>
      <w:noProof/>
      <w:color w:val="000000"/>
      <w:sz w:val="18"/>
      <w:szCs w:val="20"/>
    </w:rPr>
  </w:style>
  <w:style w:type="character" w:customStyle="1" w:styleId="Gras">
    <w:name w:val="Gras"/>
    <w:uiPriority w:val="99"/>
    <w:rsid w:val="00395DBA"/>
    <w:rPr>
      <w:rFonts w:ascii="Arial" w:hAnsi="Arial"/>
      <w:b/>
      <w:sz w:val="24"/>
    </w:rPr>
  </w:style>
  <w:style w:type="character" w:customStyle="1" w:styleId="Reenvio">
    <w:name w:val="Reenvio"/>
    <w:uiPriority w:val="99"/>
    <w:rsid w:val="00395DBA"/>
  </w:style>
  <w:style w:type="character" w:customStyle="1" w:styleId="Rango">
    <w:name w:val="Rango"/>
    <w:uiPriority w:val="99"/>
    <w:rsid w:val="00395DBA"/>
  </w:style>
  <w:style w:type="paragraph" w:styleId="NormalWeb">
    <w:name w:val="Normal (Web)"/>
    <w:basedOn w:val="Normal"/>
    <w:uiPriority w:val="99"/>
    <w:unhideWhenUsed/>
    <w:rsid w:val="00395DBA"/>
    <w:pPr>
      <w:spacing w:before="100" w:beforeAutospacing="1" w:after="100" w:afterAutospacing="1"/>
    </w:pPr>
    <w:rPr>
      <w:lang w:val="en-US" w:eastAsia="en-US"/>
    </w:rPr>
  </w:style>
  <w:style w:type="paragraph" w:customStyle="1" w:styleId="Standardbodyheading">
    <w:name w:val="Standardbody_heading"/>
    <w:rsid w:val="00395DBA"/>
    <w:pPr>
      <w:keepNext/>
      <w:pageBreakBefore/>
      <w:suppressAutoHyphens/>
      <w:autoSpaceDE w:val="0"/>
      <w:autoSpaceDN w:val="0"/>
      <w:adjustRightInd w:val="0"/>
      <w:snapToGrid w:val="0"/>
      <w:spacing w:after="0" w:line="280" w:lineRule="atLeast"/>
    </w:pPr>
    <w:rPr>
      <w:rFonts w:ascii="Arial" w:eastAsia="Times New Roman" w:hAnsi="Arial" w:cs="Arial"/>
      <w:b/>
      <w:bCs/>
      <w:color w:val="000000"/>
      <w:w w:val="1"/>
      <w:sz w:val="24"/>
      <w:szCs w:val="24"/>
      <w:lang w:val="en-GB" w:eastAsia="es-ES"/>
    </w:rPr>
  </w:style>
  <w:style w:type="character" w:customStyle="1" w:styleId="hps">
    <w:name w:val="hps"/>
    <w:rsid w:val="00395DBA"/>
  </w:style>
  <w:style w:type="paragraph" w:customStyle="1" w:styleId="loweralpha1level1">
    <w:name w:val="lower_alpha1_level1"/>
    <w:rsid w:val="00395DBA"/>
    <w:pPr>
      <w:tabs>
        <w:tab w:val="left" w:pos="420"/>
      </w:tabs>
      <w:suppressAutoHyphens/>
      <w:autoSpaceDE w:val="0"/>
      <w:autoSpaceDN w:val="0"/>
      <w:adjustRightInd w:val="0"/>
      <w:spacing w:after="120" w:line="200" w:lineRule="atLeast"/>
      <w:ind w:left="420" w:hanging="420"/>
      <w:jc w:val="both"/>
    </w:pPr>
    <w:rPr>
      <w:rFonts w:ascii="Times New Roman" w:eastAsia="Times New Roman" w:hAnsi="Times New Roman" w:cs="Times New Roman"/>
      <w:snapToGrid w:val="0"/>
      <w:color w:val="000000"/>
      <w:w w:val="0"/>
      <w:sz w:val="16"/>
      <w:szCs w:val="16"/>
      <w:lang w:val="en-GB" w:eastAsia="es-ES"/>
    </w:rPr>
  </w:style>
  <w:style w:type="paragraph" w:customStyle="1" w:styleId="lowerromanlevel2">
    <w:name w:val="lower_roman_level2"/>
    <w:rsid w:val="00395DBA"/>
    <w:pPr>
      <w:tabs>
        <w:tab w:val="left" w:pos="420"/>
        <w:tab w:val="left" w:pos="840"/>
      </w:tabs>
      <w:suppressAutoHyphens/>
      <w:autoSpaceDE w:val="0"/>
      <w:autoSpaceDN w:val="0"/>
      <w:adjustRightInd w:val="0"/>
      <w:spacing w:after="120" w:line="200" w:lineRule="atLeast"/>
      <w:ind w:left="840" w:hanging="840"/>
      <w:jc w:val="both"/>
    </w:pPr>
    <w:rPr>
      <w:rFonts w:ascii="Times New Roman" w:eastAsia="Times New Roman" w:hAnsi="Times New Roman" w:cs="Times New Roman"/>
      <w:snapToGrid w:val="0"/>
      <w:color w:val="000000"/>
      <w:w w:val="0"/>
      <w:sz w:val="16"/>
      <w:szCs w:val="16"/>
      <w:lang w:val="en-GB" w:eastAsia="es-ES"/>
    </w:rPr>
  </w:style>
  <w:style w:type="paragraph" w:customStyle="1" w:styleId="loweralphalevel1">
    <w:name w:val="lower_alpha_level1"/>
    <w:rsid w:val="00395DBA"/>
    <w:pPr>
      <w:tabs>
        <w:tab w:val="left" w:pos="420"/>
      </w:tabs>
      <w:suppressAutoHyphens/>
      <w:autoSpaceDE w:val="0"/>
      <w:autoSpaceDN w:val="0"/>
      <w:adjustRightInd w:val="0"/>
      <w:spacing w:after="120" w:line="200" w:lineRule="atLeast"/>
      <w:ind w:left="420" w:hanging="420"/>
      <w:jc w:val="both"/>
    </w:pPr>
    <w:rPr>
      <w:rFonts w:ascii="Times New Roman" w:eastAsia="Times New Roman" w:hAnsi="Times New Roman" w:cs="Times New Roman"/>
      <w:snapToGrid w:val="0"/>
      <w:color w:val="000000"/>
      <w:w w:val="0"/>
      <w:sz w:val="16"/>
      <w:szCs w:val="16"/>
      <w:lang w:val="en-GB" w:eastAsia="es-ES"/>
    </w:rPr>
  </w:style>
  <w:style w:type="paragraph" w:styleId="Sinespaciado">
    <w:name w:val="No Spacing"/>
    <w:link w:val="SinespaciadoCar"/>
    <w:uiPriority w:val="1"/>
    <w:qFormat/>
    <w:rsid w:val="00395DBA"/>
    <w:pPr>
      <w:spacing w:after="0" w:line="240" w:lineRule="auto"/>
    </w:pPr>
    <w:rPr>
      <w:rFonts w:ascii="Calibri" w:eastAsia="Times New Roman" w:hAnsi="Calibri" w:cs="Times New Roman"/>
      <w:lang w:val="es-ES"/>
    </w:rPr>
  </w:style>
  <w:style w:type="character" w:customStyle="1" w:styleId="SinespaciadoCar">
    <w:name w:val="Sin espaciado Car"/>
    <w:link w:val="Sinespaciado"/>
    <w:uiPriority w:val="1"/>
    <w:rsid w:val="00395DBA"/>
    <w:rPr>
      <w:rFonts w:ascii="Calibri" w:eastAsia="Times New Roman" w:hAnsi="Calibri" w:cs="Times New Roman"/>
      <w:lang w:val="es-ES"/>
    </w:rPr>
  </w:style>
  <w:style w:type="paragraph" w:customStyle="1" w:styleId="Bodycopy">
    <w:name w:val="Body copy"/>
    <w:rsid w:val="00395DBA"/>
    <w:pPr>
      <w:spacing w:before="20" w:after="0" w:line="210" w:lineRule="exact"/>
    </w:pPr>
    <w:rPr>
      <w:rFonts w:ascii="Arial" w:eastAsia="PMingLiU" w:hAnsi="Arial" w:cs="Arial"/>
      <w:color w:val="000000"/>
      <w:sz w:val="17"/>
      <w:szCs w:val="17"/>
      <w:lang w:val="en-US"/>
    </w:rPr>
  </w:style>
  <w:style w:type="paragraph" w:customStyle="1" w:styleId="bodycopyindent">
    <w:name w:val="body copy indent"/>
    <w:basedOn w:val="Normal"/>
    <w:rsid w:val="00395DBA"/>
    <w:pPr>
      <w:spacing w:before="20" w:line="210" w:lineRule="exact"/>
      <w:ind w:left="510"/>
    </w:pPr>
    <w:rPr>
      <w:rFonts w:ascii="Arial" w:eastAsia="PMingLiU" w:hAnsi="Arial" w:cs="Arial"/>
      <w:color w:val="000000"/>
      <w:sz w:val="17"/>
      <w:szCs w:val="17"/>
      <w:lang w:val="en-AU" w:eastAsia="en-US"/>
    </w:rPr>
  </w:style>
  <w:style w:type="paragraph" w:customStyle="1" w:styleId="sourceref">
    <w:name w:val="source ref"/>
    <w:basedOn w:val="Normal"/>
    <w:rsid w:val="00395DBA"/>
    <w:pPr>
      <w:spacing w:before="40" w:line="190" w:lineRule="exact"/>
    </w:pPr>
    <w:rPr>
      <w:rFonts w:ascii="Arial" w:eastAsia="PMingLiU" w:hAnsi="Arial" w:cs="Courier New"/>
      <w:color w:val="003399"/>
      <w:sz w:val="15"/>
      <w:szCs w:val="15"/>
      <w:lang w:val="en-AU" w:eastAsia="en-US"/>
    </w:rPr>
  </w:style>
  <w:style w:type="paragraph" w:customStyle="1" w:styleId="Bodycopyhanging">
    <w:name w:val="Body copy hanging"/>
    <w:basedOn w:val="Bodycopy"/>
    <w:rsid w:val="00395DBA"/>
    <w:pPr>
      <w:ind w:left="510" w:hanging="510"/>
    </w:pPr>
    <w:rPr>
      <w:lang w:val="en-AU"/>
    </w:rPr>
  </w:style>
  <w:style w:type="paragraph" w:styleId="Sangra2detindependiente">
    <w:name w:val="Body Text Indent 2"/>
    <w:basedOn w:val="Normal"/>
    <w:link w:val="Sangra2detindependienteCar"/>
    <w:unhideWhenUsed/>
    <w:rsid w:val="00395DBA"/>
    <w:pPr>
      <w:spacing w:after="120" w:line="480" w:lineRule="auto"/>
      <w:ind w:left="283"/>
    </w:pPr>
    <w:rPr>
      <w:rFonts w:eastAsia="Batang"/>
      <w:sz w:val="20"/>
      <w:szCs w:val="20"/>
      <w:lang w:val="es-ES_tradnl" w:eastAsia="x-none"/>
    </w:rPr>
  </w:style>
  <w:style w:type="character" w:customStyle="1" w:styleId="Sangra2detindependienteCar">
    <w:name w:val="Sangría 2 de t. independiente Car"/>
    <w:basedOn w:val="Fuentedeprrafopredeter"/>
    <w:link w:val="Sangra2detindependiente"/>
    <w:rsid w:val="00395DBA"/>
    <w:rPr>
      <w:rFonts w:ascii="Times New Roman" w:eastAsia="Batang" w:hAnsi="Times New Roman" w:cs="Times New Roman"/>
      <w:sz w:val="20"/>
      <w:szCs w:val="20"/>
      <w:lang w:val="es-ES_tradnl" w:eastAsia="x-none"/>
    </w:rPr>
  </w:style>
  <w:style w:type="character" w:customStyle="1" w:styleId="Cuerpodeltexto">
    <w:name w:val="Cuerpo del texto_"/>
    <w:link w:val="Cuerpodeltexto0"/>
    <w:rsid w:val="00395DBA"/>
    <w:rPr>
      <w:spacing w:val="4"/>
      <w:sz w:val="15"/>
      <w:szCs w:val="15"/>
      <w:shd w:val="clear" w:color="auto" w:fill="FFFFFF"/>
    </w:rPr>
  </w:style>
  <w:style w:type="paragraph" w:customStyle="1" w:styleId="Cuerpodeltexto0">
    <w:name w:val="Cuerpo del texto"/>
    <w:basedOn w:val="Normal"/>
    <w:link w:val="Cuerpodeltexto"/>
    <w:rsid w:val="00395DBA"/>
    <w:pPr>
      <w:widowControl w:val="0"/>
      <w:shd w:val="clear" w:color="auto" w:fill="FFFFFF"/>
      <w:spacing w:before="540" w:after="540" w:line="0" w:lineRule="atLeast"/>
      <w:jc w:val="both"/>
    </w:pPr>
    <w:rPr>
      <w:rFonts w:asciiTheme="minorHAnsi" w:eastAsiaTheme="minorHAnsi" w:hAnsiTheme="minorHAnsi" w:cstheme="minorBidi"/>
      <w:spacing w:val="4"/>
      <w:sz w:val="15"/>
      <w:szCs w:val="15"/>
      <w:lang w:val="es-EC" w:eastAsia="en-US"/>
    </w:rPr>
  </w:style>
  <w:style w:type="character" w:styleId="Nmerodepgina">
    <w:name w:val="page number"/>
    <w:rsid w:val="00395DBA"/>
  </w:style>
  <w:style w:type="paragraph" w:styleId="Textoindependiente3">
    <w:name w:val="Body Text 3"/>
    <w:basedOn w:val="Normal"/>
    <w:link w:val="Textoindependiente3Car"/>
    <w:rsid w:val="00395DBA"/>
    <w:pPr>
      <w:tabs>
        <w:tab w:val="left" w:pos="-288"/>
        <w:tab w:val="left" w:pos="0"/>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jc w:val="both"/>
    </w:pPr>
    <w:rPr>
      <w:rFonts w:ascii="ZapfHumnst BT" w:eastAsia="Batang" w:hAnsi="ZapfHumnst BT"/>
      <w:color w:val="FF0000"/>
      <w:spacing w:val="-2"/>
      <w:sz w:val="22"/>
      <w:szCs w:val="20"/>
      <w:lang w:val="es-ES_tradnl" w:eastAsia="x-none"/>
    </w:rPr>
  </w:style>
  <w:style w:type="character" w:customStyle="1" w:styleId="Textoindependiente3Car">
    <w:name w:val="Texto independiente 3 Car"/>
    <w:basedOn w:val="Fuentedeprrafopredeter"/>
    <w:link w:val="Textoindependiente3"/>
    <w:rsid w:val="00395DBA"/>
    <w:rPr>
      <w:rFonts w:ascii="ZapfHumnst BT" w:eastAsia="Batang" w:hAnsi="ZapfHumnst BT" w:cs="Times New Roman"/>
      <w:color w:val="FF0000"/>
      <w:spacing w:val="-2"/>
      <w:szCs w:val="20"/>
      <w:lang w:val="es-ES_tradnl" w:eastAsia="x-none"/>
    </w:rPr>
  </w:style>
  <w:style w:type="character" w:styleId="Textoennegrita">
    <w:name w:val="Strong"/>
    <w:qFormat/>
    <w:rsid w:val="00395DBA"/>
    <w:rPr>
      <w:b/>
    </w:rPr>
  </w:style>
  <w:style w:type="paragraph" w:styleId="Descripcin">
    <w:name w:val="caption"/>
    <w:basedOn w:val="Normal"/>
    <w:next w:val="Normal"/>
    <w:qFormat/>
    <w:rsid w:val="00395DBA"/>
    <w:rPr>
      <w:rFonts w:eastAsia="Batang"/>
      <w:b/>
      <w:sz w:val="20"/>
      <w:szCs w:val="20"/>
      <w:lang w:eastAsia="es-EC"/>
    </w:rPr>
  </w:style>
  <w:style w:type="paragraph" w:customStyle="1" w:styleId="Estilo">
    <w:name w:val="Estilo"/>
    <w:rsid w:val="00395DBA"/>
    <w:pPr>
      <w:widowControl w:val="0"/>
      <w:autoSpaceDE w:val="0"/>
      <w:autoSpaceDN w:val="0"/>
      <w:adjustRightInd w:val="0"/>
      <w:spacing w:after="0" w:line="240" w:lineRule="auto"/>
    </w:pPr>
    <w:rPr>
      <w:rFonts w:ascii="Arial" w:eastAsia="Batang" w:hAnsi="Arial" w:cs="Arial"/>
      <w:sz w:val="24"/>
      <w:szCs w:val="24"/>
      <w:lang w:val="es-ES" w:eastAsia="es-ES"/>
    </w:rPr>
  </w:style>
  <w:style w:type="paragraph" w:customStyle="1" w:styleId="Bodycopyindentbullet">
    <w:name w:val="Body copy indent bullet"/>
    <w:rsid w:val="00395DBA"/>
    <w:pPr>
      <w:tabs>
        <w:tab w:val="num" w:pos="1021"/>
      </w:tabs>
      <w:spacing w:before="20" w:after="0" w:line="210" w:lineRule="exact"/>
      <w:ind w:left="1021" w:hanging="511"/>
    </w:pPr>
    <w:rPr>
      <w:rFonts w:ascii="Arial" w:eastAsia="PMingLiU" w:hAnsi="Arial" w:cs="Arial"/>
      <w:color w:val="000000"/>
      <w:sz w:val="17"/>
      <w:szCs w:val="17"/>
      <w:lang w:val="en-AU" w:eastAsia="zh-CN"/>
    </w:rPr>
  </w:style>
  <w:style w:type="character" w:styleId="Hipervnculo">
    <w:name w:val="Hyperlink"/>
    <w:rsid w:val="00395DBA"/>
    <w:rPr>
      <w:color w:val="0000FF"/>
      <w:u w:val="single"/>
    </w:rPr>
  </w:style>
  <w:style w:type="paragraph" w:styleId="Subttulo">
    <w:name w:val="Subtitle"/>
    <w:basedOn w:val="Normal"/>
    <w:next w:val="Normal"/>
    <w:link w:val="SubttuloCar"/>
    <w:qFormat/>
    <w:rsid w:val="00395DBA"/>
    <w:pPr>
      <w:spacing w:after="60"/>
      <w:jc w:val="center"/>
      <w:outlineLvl w:val="1"/>
    </w:pPr>
    <w:rPr>
      <w:rFonts w:ascii="Cambria" w:hAnsi="Cambria"/>
      <w:lang w:val="es-ES_tradnl" w:eastAsia="x-none"/>
    </w:rPr>
  </w:style>
  <w:style w:type="character" w:customStyle="1" w:styleId="SubttuloCar">
    <w:name w:val="Subtítulo Car"/>
    <w:basedOn w:val="Fuentedeprrafopredeter"/>
    <w:link w:val="Subttulo"/>
    <w:rsid w:val="00395DBA"/>
    <w:rPr>
      <w:rFonts w:ascii="Cambria" w:eastAsia="Times New Roman" w:hAnsi="Cambria" w:cs="Times New Roman"/>
      <w:sz w:val="24"/>
      <w:szCs w:val="24"/>
      <w:lang w:val="es-ES_tradnl" w:eastAsia="x-none"/>
    </w:rPr>
  </w:style>
  <w:style w:type="paragraph" w:styleId="Textonotaalfinal">
    <w:name w:val="endnote text"/>
    <w:basedOn w:val="Normal"/>
    <w:link w:val="TextonotaalfinalCar"/>
    <w:rsid w:val="00395DBA"/>
    <w:rPr>
      <w:rFonts w:eastAsia="Batang"/>
      <w:sz w:val="20"/>
      <w:szCs w:val="20"/>
      <w:lang w:val="es-ES_tradnl" w:eastAsia="x-none"/>
    </w:rPr>
  </w:style>
  <w:style w:type="character" w:customStyle="1" w:styleId="TextonotaalfinalCar">
    <w:name w:val="Texto nota al final Car"/>
    <w:basedOn w:val="Fuentedeprrafopredeter"/>
    <w:link w:val="Textonotaalfinal"/>
    <w:rsid w:val="00395DBA"/>
    <w:rPr>
      <w:rFonts w:ascii="Times New Roman" w:eastAsia="Batang" w:hAnsi="Times New Roman" w:cs="Times New Roman"/>
      <w:sz w:val="20"/>
      <w:szCs w:val="20"/>
      <w:lang w:val="es-ES_tradnl" w:eastAsia="x-none"/>
    </w:rPr>
  </w:style>
  <w:style w:type="character" w:styleId="Refdenotaalfinal">
    <w:name w:val="endnote reference"/>
    <w:rsid w:val="00395DBA"/>
    <w:rPr>
      <w:vertAlign w:val="superscript"/>
    </w:rPr>
  </w:style>
  <w:style w:type="paragraph" w:customStyle="1" w:styleId="Sangra2detindependiente3">
    <w:name w:val="Sangría 2 de t.independiente3"/>
    <w:basedOn w:val="Normal"/>
    <w:rsid w:val="00395DBA"/>
    <w:pPr>
      <w:widowControl w:val="0"/>
      <w:tabs>
        <w:tab w:val="left" w:pos="680"/>
      </w:tabs>
      <w:overflowPunct w:val="0"/>
      <w:autoSpaceDE w:val="0"/>
      <w:autoSpaceDN w:val="0"/>
      <w:adjustRightInd w:val="0"/>
      <w:ind w:left="1134"/>
      <w:jc w:val="both"/>
      <w:textAlignment w:val="baseline"/>
    </w:pPr>
    <w:rPr>
      <w:szCs w:val="20"/>
      <w:lang w:val="es-EC"/>
    </w:rPr>
  </w:style>
  <w:style w:type="paragraph" w:customStyle="1" w:styleId="Normal12pt">
    <w:name w:val="Normal + 12 pt"/>
    <w:basedOn w:val="Normal"/>
    <w:link w:val="Normal12ptCar"/>
    <w:rsid w:val="00395DBA"/>
    <w:pPr>
      <w:widowControl w:val="0"/>
      <w:ind w:left="567" w:right="18"/>
      <w:jc w:val="both"/>
    </w:pPr>
    <w:rPr>
      <w:sz w:val="20"/>
      <w:szCs w:val="20"/>
      <w:lang w:val="x-none"/>
    </w:rPr>
  </w:style>
  <w:style w:type="character" w:customStyle="1" w:styleId="Normal12ptCar">
    <w:name w:val="Normal + 12 pt Car"/>
    <w:link w:val="Normal12pt"/>
    <w:locked/>
    <w:rsid w:val="00395DBA"/>
    <w:rPr>
      <w:rFonts w:ascii="Times New Roman" w:eastAsia="Times New Roman" w:hAnsi="Times New Roman" w:cs="Times New Roman"/>
      <w:sz w:val="20"/>
      <w:szCs w:val="20"/>
      <w:lang w:val="x-none" w:eastAsia="es-ES"/>
    </w:rPr>
  </w:style>
  <w:style w:type="paragraph" w:customStyle="1" w:styleId="Sangra2detindependiente30">
    <w:name w:val="Sangría 2 de t. independiente3"/>
    <w:basedOn w:val="Normal"/>
    <w:rsid w:val="00395DBA"/>
    <w:pPr>
      <w:widowControl w:val="0"/>
      <w:tabs>
        <w:tab w:val="left" w:pos="680"/>
      </w:tabs>
      <w:overflowPunct w:val="0"/>
      <w:autoSpaceDE w:val="0"/>
      <w:autoSpaceDN w:val="0"/>
      <w:adjustRightInd w:val="0"/>
      <w:ind w:left="1134"/>
      <w:jc w:val="both"/>
      <w:textAlignment w:val="baseline"/>
    </w:pPr>
    <w:rPr>
      <w:szCs w:val="20"/>
      <w:lang w:val="es-EC"/>
    </w:rPr>
  </w:style>
  <w:style w:type="paragraph" w:customStyle="1" w:styleId="AANormalTextoNotasletras">
    <w:name w:val="AA Normal Texto Notas letras"/>
    <w:basedOn w:val="Normal"/>
    <w:uiPriority w:val="99"/>
    <w:rsid w:val="00395DBA"/>
    <w:pPr>
      <w:spacing w:line="300" w:lineRule="exact"/>
      <w:ind w:left="3828" w:hanging="539"/>
    </w:pPr>
    <w:rPr>
      <w:rFonts w:ascii="Arial" w:hAnsi="Arial"/>
      <w:sz w:val="19"/>
      <w:szCs w:val="20"/>
      <w:lang w:eastAsia="en-US"/>
    </w:rPr>
  </w:style>
  <w:style w:type="paragraph" w:customStyle="1" w:styleId="AALneaSubTotal">
    <w:name w:val="AA Línea SubTotal"/>
    <w:basedOn w:val="Normal"/>
    <w:rsid w:val="00395DBA"/>
    <w:pPr>
      <w:spacing w:line="100" w:lineRule="exact"/>
    </w:pPr>
    <w:rPr>
      <w:rFonts w:ascii="Book Antiqua" w:hAnsi="Book Antiqua"/>
      <w:b/>
      <w:position w:val="4"/>
      <w:sz w:val="18"/>
      <w:szCs w:val="20"/>
      <w:lang w:val="es-ES_tradnl" w:eastAsia="en-US"/>
    </w:rPr>
  </w:style>
  <w:style w:type="paragraph" w:customStyle="1" w:styleId="AANormalTextoNotasprrafo">
    <w:name w:val="AA Normal Texto Notas párrafo"/>
    <w:basedOn w:val="AANormalTextoNotasTtulos"/>
    <w:rsid w:val="00395DBA"/>
    <w:pPr>
      <w:ind w:left="3260" w:firstLine="0"/>
    </w:pPr>
    <w:rPr>
      <w:b w:val="0"/>
    </w:rPr>
  </w:style>
  <w:style w:type="paragraph" w:customStyle="1" w:styleId="AANormalTextoNotasTtulos">
    <w:name w:val="AA Normal Texto Notas Títulos"/>
    <w:basedOn w:val="Normal"/>
    <w:rsid w:val="00395DBA"/>
    <w:pPr>
      <w:spacing w:line="300" w:lineRule="exact"/>
      <w:ind w:left="3261" w:hanging="539"/>
    </w:pPr>
    <w:rPr>
      <w:rFonts w:ascii="Arial" w:hAnsi="Arial"/>
      <w:b/>
      <w:sz w:val="18"/>
      <w:szCs w:val="20"/>
      <w:lang w:val="es-ES_tradnl" w:eastAsia="en-US"/>
    </w:rPr>
  </w:style>
  <w:style w:type="paragraph" w:customStyle="1" w:styleId="EYNormalNotasLetras">
    <w:name w:val="EY Normal Notas Letras"/>
    <w:basedOn w:val="Normal"/>
    <w:link w:val="EYNormalNotasLetrasChar"/>
    <w:qFormat/>
    <w:rsid w:val="00395DBA"/>
    <w:pPr>
      <w:spacing w:line="300" w:lineRule="exact"/>
      <w:ind w:left="1134" w:hanging="567"/>
    </w:pPr>
    <w:rPr>
      <w:rFonts w:ascii="EYInterstate" w:hAnsi="EYInterstate"/>
      <w:sz w:val="18"/>
      <w:szCs w:val="18"/>
      <w:lang w:val="en-US"/>
    </w:rPr>
  </w:style>
  <w:style w:type="character" w:customStyle="1" w:styleId="EYNormalNotasLetrasChar">
    <w:name w:val="EY Normal Notas Letras Char"/>
    <w:link w:val="EYNormalNotasLetras"/>
    <w:locked/>
    <w:rsid w:val="00395DBA"/>
    <w:rPr>
      <w:rFonts w:ascii="EYInterstate" w:eastAsia="Times New Roman" w:hAnsi="EYInterstate" w:cs="Times New Roman"/>
      <w:sz w:val="18"/>
      <w:szCs w:val="18"/>
      <w:lang w:val="en-US" w:eastAsia="es-ES"/>
    </w:rPr>
  </w:style>
  <w:style w:type="character" w:customStyle="1" w:styleId="Cuerpodeltexto2">
    <w:name w:val="Cuerpo del texto (2)_"/>
    <w:basedOn w:val="Fuentedeprrafopredeter"/>
    <w:link w:val="Cuerpodeltexto20"/>
    <w:rsid w:val="00DE5BF4"/>
    <w:rPr>
      <w:rFonts w:ascii="Arial" w:eastAsia="Arial" w:hAnsi="Arial" w:cs="Arial"/>
      <w:sz w:val="16"/>
      <w:szCs w:val="16"/>
      <w:shd w:val="clear" w:color="auto" w:fill="FFFFFF"/>
    </w:rPr>
  </w:style>
  <w:style w:type="paragraph" w:customStyle="1" w:styleId="Cuerpodeltexto20">
    <w:name w:val="Cuerpo del texto (2)"/>
    <w:basedOn w:val="Normal"/>
    <w:link w:val="Cuerpodeltexto2"/>
    <w:rsid w:val="00DE5BF4"/>
    <w:pPr>
      <w:widowControl w:val="0"/>
      <w:shd w:val="clear" w:color="auto" w:fill="FFFFFF"/>
      <w:spacing w:line="278" w:lineRule="exact"/>
      <w:ind w:hanging="380"/>
    </w:pPr>
    <w:rPr>
      <w:rFonts w:ascii="Arial" w:eastAsia="Arial" w:hAnsi="Arial" w:cs="Arial"/>
      <w:sz w:val="16"/>
      <w:szCs w:val="16"/>
      <w:lang w:val="es-EC" w:eastAsia="en-US"/>
    </w:rPr>
  </w:style>
  <w:style w:type="character" w:customStyle="1" w:styleId="Cuerpodeltexto7">
    <w:name w:val="Cuerpo del texto (7)_"/>
    <w:basedOn w:val="Fuentedeprrafopredeter"/>
    <w:rsid w:val="00DE5BF4"/>
    <w:rPr>
      <w:rFonts w:ascii="Arial" w:eastAsia="Arial" w:hAnsi="Arial" w:cs="Arial"/>
      <w:b/>
      <w:bCs/>
      <w:i w:val="0"/>
      <w:iCs w:val="0"/>
      <w:smallCaps w:val="0"/>
      <w:strike w:val="0"/>
      <w:sz w:val="16"/>
      <w:szCs w:val="16"/>
      <w:u w:val="none"/>
    </w:rPr>
  </w:style>
  <w:style w:type="character" w:customStyle="1" w:styleId="Cuerpodeltexto70">
    <w:name w:val="Cuerpo del texto (7)"/>
    <w:basedOn w:val="Cuerpodeltexto7"/>
    <w:rsid w:val="00DE5BF4"/>
    <w:rPr>
      <w:rFonts w:ascii="Arial" w:eastAsia="Arial" w:hAnsi="Arial" w:cs="Arial"/>
      <w:b/>
      <w:bCs/>
      <w:i w:val="0"/>
      <w:iCs w:val="0"/>
      <w:smallCaps w:val="0"/>
      <w:strike w:val="0"/>
      <w:color w:val="000000"/>
      <w:spacing w:val="0"/>
      <w:w w:val="100"/>
      <w:position w:val="0"/>
      <w:sz w:val="16"/>
      <w:szCs w:val="16"/>
      <w:u w:val="single"/>
      <w:lang w:val="es-ES" w:eastAsia="es-ES" w:bidi="es-ES"/>
    </w:rPr>
  </w:style>
  <w:style w:type="character" w:customStyle="1" w:styleId="Cuerpodeltexto27pto">
    <w:name w:val="Cuerpo del texto (2) + 7 pto"/>
    <w:basedOn w:val="Cuerpodeltexto2"/>
    <w:rsid w:val="0056078C"/>
    <w:rPr>
      <w:rFonts w:ascii="Arial" w:eastAsia="Arial" w:hAnsi="Arial" w:cs="Arial"/>
      <w:b w:val="0"/>
      <w:bCs w:val="0"/>
      <w:i w:val="0"/>
      <w:iCs w:val="0"/>
      <w:smallCaps w:val="0"/>
      <w:strike w:val="0"/>
      <w:color w:val="000000"/>
      <w:spacing w:val="0"/>
      <w:w w:val="100"/>
      <w:position w:val="0"/>
      <w:sz w:val="14"/>
      <w:szCs w:val="14"/>
      <w:u w:val="none"/>
      <w:shd w:val="clear" w:color="auto" w:fill="FFFFFF"/>
      <w:lang w:val="es-ES" w:eastAsia="es-ES" w:bidi="es-ES"/>
    </w:rPr>
  </w:style>
  <w:style w:type="character" w:customStyle="1" w:styleId="Ttulo40">
    <w:name w:val="Título #4_"/>
    <w:basedOn w:val="Fuentedeprrafopredeter"/>
    <w:link w:val="Ttulo41"/>
    <w:rsid w:val="003114A7"/>
    <w:rPr>
      <w:rFonts w:ascii="Arial" w:eastAsia="Arial" w:hAnsi="Arial" w:cs="Arial"/>
      <w:b/>
      <w:bCs/>
      <w:sz w:val="16"/>
      <w:szCs w:val="16"/>
      <w:shd w:val="clear" w:color="auto" w:fill="FFFFFF"/>
    </w:rPr>
  </w:style>
  <w:style w:type="character" w:customStyle="1" w:styleId="Cuerpodeltexto2Cursiva">
    <w:name w:val="Cuerpo del texto (2) + Cursiva"/>
    <w:basedOn w:val="Cuerpodeltexto2"/>
    <w:rsid w:val="003114A7"/>
    <w:rPr>
      <w:rFonts w:ascii="Arial" w:eastAsia="Arial" w:hAnsi="Arial" w:cs="Arial"/>
      <w:b w:val="0"/>
      <w:bCs w:val="0"/>
      <w:i/>
      <w:iCs/>
      <w:smallCaps w:val="0"/>
      <w:strike w:val="0"/>
      <w:color w:val="000000"/>
      <w:spacing w:val="0"/>
      <w:w w:val="100"/>
      <w:position w:val="0"/>
      <w:sz w:val="16"/>
      <w:szCs w:val="16"/>
      <w:u w:val="none"/>
      <w:shd w:val="clear" w:color="auto" w:fill="FFFFFF"/>
      <w:lang w:val="es-ES" w:eastAsia="es-ES" w:bidi="es-ES"/>
    </w:rPr>
  </w:style>
  <w:style w:type="character" w:customStyle="1" w:styleId="Cuerpodeltexto12">
    <w:name w:val="Cuerpo del texto (12)_"/>
    <w:basedOn w:val="Fuentedeprrafopredeter"/>
    <w:rsid w:val="003114A7"/>
    <w:rPr>
      <w:rFonts w:ascii="Arial" w:eastAsia="Arial" w:hAnsi="Arial" w:cs="Arial"/>
      <w:b w:val="0"/>
      <w:bCs w:val="0"/>
      <w:i/>
      <w:iCs/>
      <w:smallCaps w:val="0"/>
      <w:strike w:val="0"/>
      <w:sz w:val="16"/>
      <w:szCs w:val="16"/>
      <w:u w:val="none"/>
    </w:rPr>
  </w:style>
  <w:style w:type="character" w:customStyle="1" w:styleId="Cuerpodeltexto120">
    <w:name w:val="Cuerpo del texto (12)"/>
    <w:basedOn w:val="Cuerpodeltexto12"/>
    <w:rsid w:val="003114A7"/>
    <w:rPr>
      <w:rFonts w:ascii="Arial" w:eastAsia="Arial" w:hAnsi="Arial" w:cs="Arial"/>
      <w:b w:val="0"/>
      <w:bCs w:val="0"/>
      <w:i/>
      <w:iCs/>
      <w:smallCaps w:val="0"/>
      <w:strike w:val="0"/>
      <w:color w:val="000000"/>
      <w:spacing w:val="0"/>
      <w:w w:val="100"/>
      <w:position w:val="0"/>
      <w:sz w:val="16"/>
      <w:szCs w:val="16"/>
      <w:u w:val="single"/>
      <w:lang w:val="es-ES" w:eastAsia="es-ES" w:bidi="es-ES"/>
    </w:rPr>
  </w:style>
  <w:style w:type="character" w:customStyle="1" w:styleId="Cuerpodeltexto13">
    <w:name w:val="Cuerpo del texto (13)_"/>
    <w:basedOn w:val="Fuentedeprrafopredeter"/>
    <w:link w:val="Cuerpodeltexto130"/>
    <w:rsid w:val="003114A7"/>
    <w:rPr>
      <w:rFonts w:ascii="Arial" w:eastAsia="Arial" w:hAnsi="Arial" w:cs="Arial"/>
      <w:b/>
      <w:bCs/>
      <w:i/>
      <w:iCs/>
      <w:sz w:val="16"/>
      <w:szCs w:val="16"/>
      <w:shd w:val="clear" w:color="auto" w:fill="FFFFFF"/>
    </w:rPr>
  </w:style>
  <w:style w:type="character" w:customStyle="1" w:styleId="Cuerpodeltexto13AngsanaUPC">
    <w:name w:val="Cuerpo del texto (13) + AngsanaUPC"/>
    <w:aliases w:val="13 pto,Sin cursiva,Espaciado 0 pto"/>
    <w:basedOn w:val="Cuerpodeltexto13"/>
    <w:rsid w:val="003114A7"/>
    <w:rPr>
      <w:rFonts w:ascii="AngsanaUPC" w:eastAsia="AngsanaUPC" w:hAnsi="AngsanaUPC" w:cs="AngsanaUPC"/>
      <w:b/>
      <w:bCs/>
      <w:i/>
      <w:iCs/>
      <w:color w:val="000000"/>
      <w:spacing w:val="-10"/>
      <w:w w:val="100"/>
      <w:position w:val="0"/>
      <w:sz w:val="26"/>
      <w:szCs w:val="26"/>
      <w:shd w:val="clear" w:color="auto" w:fill="FFFFFF"/>
      <w:lang w:val="es-ES" w:eastAsia="es-ES" w:bidi="es-ES"/>
    </w:rPr>
  </w:style>
  <w:style w:type="paragraph" w:customStyle="1" w:styleId="Ttulo41">
    <w:name w:val="Título #4"/>
    <w:basedOn w:val="Normal"/>
    <w:link w:val="Ttulo40"/>
    <w:rsid w:val="003114A7"/>
    <w:pPr>
      <w:widowControl w:val="0"/>
      <w:shd w:val="clear" w:color="auto" w:fill="FFFFFF"/>
      <w:spacing w:line="0" w:lineRule="atLeast"/>
      <w:ind w:hanging="360"/>
      <w:outlineLvl w:val="3"/>
    </w:pPr>
    <w:rPr>
      <w:rFonts w:ascii="Arial" w:eastAsia="Arial" w:hAnsi="Arial" w:cs="Arial"/>
      <w:b/>
      <w:bCs/>
      <w:sz w:val="16"/>
      <w:szCs w:val="16"/>
      <w:lang w:val="es-EC" w:eastAsia="en-US"/>
    </w:rPr>
  </w:style>
  <w:style w:type="paragraph" w:customStyle="1" w:styleId="Cuerpodeltexto130">
    <w:name w:val="Cuerpo del texto (13)"/>
    <w:basedOn w:val="Normal"/>
    <w:link w:val="Cuerpodeltexto13"/>
    <w:rsid w:val="003114A7"/>
    <w:pPr>
      <w:widowControl w:val="0"/>
      <w:shd w:val="clear" w:color="auto" w:fill="FFFFFF"/>
      <w:spacing w:line="0" w:lineRule="atLeast"/>
    </w:pPr>
    <w:rPr>
      <w:rFonts w:ascii="Arial" w:eastAsia="Arial" w:hAnsi="Arial" w:cs="Arial"/>
      <w:b/>
      <w:bCs/>
      <w:i/>
      <w:iCs/>
      <w:sz w:val="16"/>
      <w:szCs w:val="16"/>
      <w:lang w:val="es-EC" w:eastAsia="en-US"/>
    </w:rPr>
  </w:style>
  <w:style w:type="character" w:customStyle="1" w:styleId="Notaalpie">
    <w:name w:val="Nota al pie_"/>
    <w:basedOn w:val="Fuentedeprrafopredeter"/>
    <w:link w:val="Notaalpie0"/>
    <w:rsid w:val="000A1E52"/>
    <w:rPr>
      <w:rFonts w:ascii="Arial" w:eastAsia="Arial" w:hAnsi="Arial" w:cs="Arial"/>
      <w:sz w:val="16"/>
      <w:szCs w:val="16"/>
      <w:shd w:val="clear" w:color="auto" w:fill="FFFFFF"/>
    </w:rPr>
  </w:style>
  <w:style w:type="character" w:customStyle="1" w:styleId="Cuerpodeltexto12Sincursiva">
    <w:name w:val="Cuerpo del texto (12) + Sin cursiva"/>
    <w:basedOn w:val="Cuerpodeltexto12"/>
    <w:rsid w:val="000A1E52"/>
    <w:rPr>
      <w:rFonts w:ascii="Arial" w:eastAsia="Arial" w:hAnsi="Arial" w:cs="Arial"/>
      <w:b w:val="0"/>
      <w:bCs w:val="0"/>
      <w:i/>
      <w:iCs/>
      <w:smallCaps w:val="0"/>
      <w:strike w:val="0"/>
      <w:color w:val="000000"/>
      <w:spacing w:val="0"/>
      <w:w w:val="100"/>
      <w:position w:val="0"/>
      <w:sz w:val="16"/>
      <w:szCs w:val="16"/>
      <w:u w:val="none"/>
      <w:lang w:val="es-ES" w:eastAsia="es-ES" w:bidi="es-ES"/>
    </w:rPr>
  </w:style>
  <w:style w:type="paragraph" w:customStyle="1" w:styleId="Notaalpie0">
    <w:name w:val="Nota al pie"/>
    <w:basedOn w:val="Normal"/>
    <w:link w:val="Notaalpie"/>
    <w:rsid w:val="000A1E52"/>
    <w:pPr>
      <w:widowControl w:val="0"/>
      <w:shd w:val="clear" w:color="auto" w:fill="FFFFFF"/>
      <w:spacing w:line="264" w:lineRule="exact"/>
      <w:ind w:hanging="360"/>
      <w:jc w:val="both"/>
    </w:pPr>
    <w:rPr>
      <w:rFonts w:ascii="Arial" w:eastAsia="Arial" w:hAnsi="Arial" w:cs="Arial"/>
      <w:sz w:val="16"/>
      <w:szCs w:val="16"/>
      <w:lang w:val="es-EC" w:eastAsia="en-US"/>
    </w:rPr>
  </w:style>
  <w:style w:type="character" w:customStyle="1" w:styleId="Cuerpodeltexto10">
    <w:name w:val="Cuerpo del texto (10)_"/>
    <w:basedOn w:val="Fuentedeprrafopredeter"/>
    <w:link w:val="Cuerpodeltexto100"/>
    <w:rsid w:val="00361FD9"/>
    <w:rPr>
      <w:rFonts w:ascii="Arial" w:eastAsia="Arial" w:hAnsi="Arial" w:cs="Arial"/>
      <w:b/>
      <w:bCs/>
      <w:sz w:val="14"/>
      <w:szCs w:val="14"/>
      <w:shd w:val="clear" w:color="auto" w:fill="FFFFFF"/>
    </w:rPr>
  </w:style>
  <w:style w:type="paragraph" w:customStyle="1" w:styleId="Cuerpodeltexto100">
    <w:name w:val="Cuerpo del texto (10)"/>
    <w:basedOn w:val="Normal"/>
    <w:link w:val="Cuerpodeltexto10"/>
    <w:rsid w:val="00361FD9"/>
    <w:pPr>
      <w:widowControl w:val="0"/>
      <w:shd w:val="clear" w:color="auto" w:fill="FFFFFF"/>
      <w:spacing w:line="0" w:lineRule="atLeast"/>
      <w:jc w:val="both"/>
    </w:pPr>
    <w:rPr>
      <w:rFonts w:ascii="Arial" w:eastAsia="Arial" w:hAnsi="Arial" w:cs="Arial"/>
      <w:b/>
      <w:bCs/>
      <w:sz w:val="14"/>
      <w:szCs w:val="14"/>
      <w:lang w:val="es-EC" w:eastAsia="en-US"/>
    </w:rPr>
  </w:style>
  <w:style w:type="character" w:customStyle="1" w:styleId="Cuerpodeltexto2Negrita">
    <w:name w:val="Cuerpo del texto (2) + Negrita"/>
    <w:basedOn w:val="Cuerpodeltexto2"/>
    <w:rsid w:val="005D1349"/>
    <w:rPr>
      <w:rFonts w:ascii="Arial" w:eastAsia="Arial" w:hAnsi="Arial" w:cs="Arial"/>
      <w:b/>
      <w:bCs/>
      <w:i w:val="0"/>
      <w:iCs w:val="0"/>
      <w:smallCaps w:val="0"/>
      <w:strike w:val="0"/>
      <w:color w:val="000000"/>
      <w:spacing w:val="0"/>
      <w:w w:val="100"/>
      <w:position w:val="0"/>
      <w:sz w:val="16"/>
      <w:szCs w:val="16"/>
      <w:u w:val="none"/>
      <w:shd w:val="clear" w:color="auto" w:fill="FFFFFF"/>
      <w:lang w:val="es-ES" w:eastAsia="es-ES" w:bidi="es-ES"/>
    </w:rPr>
  </w:style>
  <w:style w:type="character" w:customStyle="1" w:styleId="EncabezamientoopiedepginaArial">
    <w:name w:val="Encabezamiento o pie de página + Arial"/>
    <w:aliases w:val="7.5 pto"/>
    <w:basedOn w:val="Fuentedeprrafopredeter"/>
    <w:rsid w:val="0051018B"/>
    <w:rPr>
      <w:rFonts w:ascii="Arial" w:eastAsia="Arial" w:hAnsi="Arial" w:cs="Arial"/>
      <w:b/>
      <w:bCs/>
      <w:i w:val="0"/>
      <w:iCs w:val="0"/>
      <w:smallCaps w:val="0"/>
      <w:strike w:val="0"/>
      <w:color w:val="000000"/>
      <w:spacing w:val="0"/>
      <w:w w:val="100"/>
      <w:position w:val="0"/>
      <w:sz w:val="15"/>
      <w:szCs w:val="15"/>
      <w:u w:val="none"/>
      <w:lang w:val="es-ES" w:eastAsia="es-ES" w:bidi="es-ES"/>
    </w:rPr>
  </w:style>
  <w:style w:type="character" w:customStyle="1" w:styleId="Notaalpie2">
    <w:name w:val="Nota al pie (2)_"/>
    <w:basedOn w:val="Fuentedeprrafopredeter"/>
    <w:link w:val="Notaalpie20"/>
    <w:rsid w:val="00800F91"/>
    <w:rPr>
      <w:rFonts w:ascii="Arial" w:eastAsia="Arial" w:hAnsi="Arial" w:cs="Arial"/>
      <w:sz w:val="14"/>
      <w:szCs w:val="14"/>
      <w:shd w:val="clear" w:color="auto" w:fill="FFFFFF"/>
    </w:rPr>
  </w:style>
  <w:style w:type="paragraph" w:customStyle="1" w:styleId="Notaalpie20">
    <w:name w:val="Nota al pie (2)"/>
    <w:basedOn w:val="Normal"/>
    <w:link w:val="Notaalpie2"/>
    <w:rsid w:val="00800F91"/>
    <w:pPr>
      <w:widowControl w:val="0"/>
      <w:shd w:val="clear" w:color="auto" w:fill="FFFFFF"/>
      <w:spacing w:line="226" w:lineRule="exact"/>
      <w:ind w:hanging="380"/>
    </w:pPr>
    <w:rPr>
      <w:rFonts w:ascii="Arial" w:eastAsia="Arial" w:hAnsi="Arial" w:cs="Arial"/>
      <w:sz w:val="14"/>
      <w:szCs w:val="14"/>
      <w:lang w:val="es-EC" w:eastAsia="en-US"/>
    </w:rPr>
  </w:style>
  <w:style w:type="paragraph" w:customStyle="1" w:styleId="ColorfulList-Accent11">
    <w:name w:val="Colorful List - Accent 11"/>
    <w:basedOn w:val="Normal"/>
    <w:uiPriority w:val="34"/>
    <w:qFormat/>
    <w:rsid w:val="00036E91"/>
    <w:pPr>
      <w:widowControl w:val="0"/>
      <w:ind w:left="720"/>
      <w:contextualSpacing/>
    </w:pPr>
    <w:rPr>
      <w:rFonts w:ascii="ZapfHumnst BT" w:hAnsi="ZapfHumnst BT"/>
      <w:sz w:val="22"/>
      <w:szCs w:val="20"/>
      <w:lang w:val="en-CA" w:eastAsia="es-EC"/>
    </w:rPr>
  </w:style>
  <w:style w:type="paragraph" w:customStyle="1" w:styleId="gmail-cuerpodeltexto20">
    <w:name w:val="gmail-cuerpodeltexto20"/>
    <w:basedOn w:val="Normal"/>
    <w:rsid w:val="00E409BC"/>
    <w:pPr>
      <w:spacing w:before="100" w:beforeAutospacing="1" w:after="100" w:afterAutospacing="1"/>
    </w:pPr>
    <w:rPr>
      <w:lang w:val="es-EC" w:eastAsia="es-EC"/>
    </w:rPr>
  </w:style>
  <w:style w:type="paragraph" w:customStyle="1" w:styleId="Prrafo192p10">
    <w:name w:val="Párrafo 1.92 p/10"/>
    <w:uiPriority w:val="99"/>
    <w:qFormat/>
    <w:rsid w:val="00D46A98"/>
    <w:pPr>
      <w:spacing w:line="240" w:lineRule="auto"/>
      <w:ind w:left="1089"/>
      <w:jc w:val="both"/>
    </w:pPr>
    <w:rPr>
      <w:rFonts w:ascii="Times New Roman" w:eastAsia="Times New Roman" w:hAnsi="Times New Roman" w:cs="Times New Roman"/>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93912">
      <w:bodyDiv w:val="1"/>
      <w:marLeft w:val="0"/>
      <w:marRight w:val="0"/>
      <w:marTop w:val="0"/>
      <w:marBottom w:val="0"/>
      <w:divBdr>
        <w:top w:val="none" w:sz="0" w:space="0" w:color="auto"/>
        <w:left w:val="none" w:sz="0" w:space="0" w:color="auto"/>
        <w:bottom w:val="none" w:sz="0" w:space="0" w:color="auto"/>
        <w:right w:val="none" w:sz="0" w:space="0" w:color="auto"/>
      </w:divBdr>
    </w:div>
    <w:div w:id="199128658">
      <w:bodyDiv w:val="1"/>
      <w:marLeft w:val="0"/>
      <w:marRight w:val="0"/>
      <w:marTop w:val="0"/>
      <w:marBottom w:val="0"/>
      <w:divBdr>
        <w:top w:val="none" w:sz="0" w:space="0" w:color="auto"/>
        <w:left w:val="none" w:sz="0" w:space="0" w:color="auto"/>
        <w:bottom w:val="none" w:sz="0" w:space="0" w:color="auto"/>
        <w:right w:val="none" w:sz="0" w:space="0" w:color="auto"/>
      </w:divBdr>
    </w:div>
    <w:div w:id="225265385">
      <w:bodyDiv w:val="1"/>
      <w:marLeft w:val="0"/>
      <w:marRight w:val="0"/>
      <w:marTop w:val="0"/>
      <w:marBottom w:val="0"/>
      <w:divBdr>
        <w:top w:val="none" w:sz="0" w:space="0" w:color="auto"/>
        <w:left w:val="none" w:sz="0" w:space="0" w:color="auto"/>
        <w:bottom w:val="none" w:sz="0" w:space="0" w:color="auto"/>
        <w:right w:val="none" w:sz="0" w:space="0" w:color="auto"/>
      </w:divBdr>
    </w:div>
    <w:div w:id="278949500">
      <w:bodyDiv w:val="1"/>
      <w:marLeft w:val="0"/>
      <w:marRight w:val="0"/>
      <w:marTop w:val="0"/>
      <w:marBottom w:val="0"/>
      <w:divBdr>
        <w:top w:val="none" w:sz="0" w:space="0" w:color="auto"/>
        <w:left w:val="none" w:sz="0" w:space="0" w:color="auto"/>
        <w:bottom w:val="none" w:sz="0" w:space="0" w:color="auto"/>
        <w:right w:val="none" w:sz="0" w:space="0" w:color="auto"/>
      </w:divBdr>
    </w:div>
    <w:div w:id="286592298">
      <w:bodyDiv w:val="1"/>
      <w:marLeft w:val="0"/>
      <w:marRight w:val="0"/>
      <w:marTop w:val="0"/>
      <w:marBottom w:val="0"/>
      <w:divBdr>
        <w:top w:val="none" w:sz="0" w:space="0" w:color="auto"/>
        <w:left w:val="none" w:sz="0" w:space="0" w:color="auto"/>
        <w:bottom w:val="none" w:sz="0" w:space="0" w:color="auto"/>
        <w:right w:val="none" w:sz="0" w:space="0" w:color="auto"/>
      </w:divBdr>
    </w:div>
    <w:div w:id="321590929">
      <w:bodyDiv w:val="1"/>
      <w:marLeft w:val="0"/>
      <w:marRight w:val="0"/>
      <w:marTop w:val="0"/>
      <w:marBottom w:val="0"/>
      <w:divBdr>
        <w:top w:val="none" w:sz="0" w:space="0" w:color="auto"/>
        <w:left w:val="none" w:sz="0" w:space="0" w:color="auto"/>
        <w:bottom w:val="none" w:sz="0" w:space="0" w:color="auto"/>
        <w:right w:val="none" w:sz="0" w:space="0" w:color="auto"/>
      </w:divBdr>
    </w:div>
    <w:div w:id="390547225">
      <w:bodyDiv w:val="1"/>
      <w:marLeft w:val="0"/>
      <w:marRight w:val="0"/>
      <w:marTop w:val="0"/>
      <w:marBottom w:val="0"/>
      <w:divBdr>
        <w:top w:val="none" w:sz="0" w:space="0" w:color="auto"/>
        <w:left w:val="none" w:sz="0" w:space="0" w:color="auto"/>
        <w:bottom w:val="none" w:sz="0" w:space="0" w:color="auto"/>
        <w:right w:val="none" w:sz="0" w:space="0" w:color="auto"/>
      </w:divBdr>
    </w:div>
    <w:div w:id="419985848">
      <w:bodyDiv w:val="1"/>
      <w:marLeft w:val="0"/>
      <w:marRight w:val="0"/>
      <w:marTop w:val="0"/>
      <w:marBottom w:val="0"/>
      <w:divBdr>
        <w:top w:val="none" w:sz="0" w:space="0" w:color="auto"/>
        <w:left w:val="none" w:sz="0" w:space="0" w:color="auto"/>
        <w:bottom w:val="none" w:sz="0" w:space="0" w:color="auto"/>
        <w:right w:val="none" w:sz="0" w:space="0" w:color="auto"/>
      </w:divBdr>
    </w:div>
    <w:div w:id="432433739">
      <w:bodyDiv w:val="1"/>
      <w:marLeft w:val="0"/>
      <w:marRight w:val="0"/>
      <w:marTop w:val="0"/>
      <w:marBottom w:val="0"/>
      <w:divBdr>
        <w:top w:val="none" w:sz="0" w:space="0" w:color="auto"/>
        <w:left w:val="none" w:sz="0" w:space="0" w:color="auto"/>
        <w:bottom w:val="none" w:sz="0" w:space="0" w:color="auto"/>
        <w:right w:val="none" w:sz="0" w:space="0" w:color="auto"/>
      </w:divBdr>
    </w:div>
    <w:div w:id="522523178">
      <w:bodyDiv w:val="1"/>
      <w:marLeft w:val="0"/>
      <w:marRight w:val="0"/>
      <w:marTop w:val="0"/>
      <w:marBottom w:val="0"/>
      <w:divBdr>
        <w:top w:val="none" w:sz="0" w:space="0" w:color="auto"/>
        <w:left w:val="none" w:sz="0" w:space="0" w:color="auto"/>
        <w:bottom w:val="none" w:sz="0" w:space="0" w:color="auto"/>
        <w:right w:val="none" w:sz="0" w:space="0" w:color="auto"/>
      </w:divBdr>
    </w:div>
    <w:div w:id="585892157">
      <w:bodyDiv w:val="1"/>
      <w:marLeft w:val="0"/>
      <w:marRight w:val="0"/>
      <w:marTop w:val="0"/>
      <w:marBottom w:val="0"/>
      <w:divBdr>
        <w:top w:val="none" w:sz="0" w:space="0" w:color="auto"/>
        <w:left w:val="none" w:sz="0" w:space="0" w:color="auto"/>
        <w:bottom w:val="none" w:sz="0" w:space="0" w:color="auto"/>
        <w:right w:val="none" w:sz="0" w:space="0" w:color="auto"/>
      </w:divBdr>
    </w:div>
    <w:div w:id="613709203">
      <w:bodyDiv w:val="1"/>
      <w:marLeft w:val="0"/>
      <w:marRight w:val="0"/>
      <w:marTop w:val="0"/>
      <w:marBottom w:val="0"/>
      <w:divBdr>
        <w:top w:val="none" w:sz="0" w:space="0" w:color="auto"/>
        <w:left w:val="none" w:sz="0" w:space="0" w:color="auto"/>
        <w:bottom w:val="none" w:sz="0" w:space="0" w:color="auto"/>
        <w:right w:val="none" w:sz="0" w:space="0" w:color="auto"/>
      </w:divBdr>
    </w:div>
    <w:div w:id="704403254">
      <w:bodyDiv w:val="1"/>
      <w:marLeft w:val="0"/>
      <w:marRight w:val="0"/>
      <w:marTop w:val="0"/>
      <w:marBottom w:val="0"/>
      <w:divBdr>
        <w:top w:val="none" w:sz="0" w:space="0" w:color="auto"/>
        <w:left w:val="none" w:sz="0" w:space="0" w:color="auto"/>
        <w:bottom w:val="none" w:sz="0" w:space="0" w:color="auto"/>
        <w:right w:val="none" w:sz="0" w:space="0" w:color="auto"/>
      </w:divBdr>
    </w:div>
    <w:div w:id="735511922">
      <w:bodyDiv w:val="1"/>
      <w:marLeft w:val="0"/>
      <w:marRight w:val="0"/>
      <w:marTop w:val="0"/>
      <w:marBottom w:val="0"/>
      <w:divBdr>
        <w:top w:val="none" w:sz="0" w:space="0" w:color="auto"/>
        <w:left w:val="none" w:sz="0" w:space="0" w:color="auto"/>
        <w:bottom w:val="none" w:sz="0" w:space="0" w:color="auto"/>
        <w:right w:val="none" w:sz="0" w:space="0" w:color="auto"/>
      </w:divBdr>
    </w:div>
    <w:div w:id="768424650">
      <w:bodyDiv w:val="1"/>
      <w:marLeft w:val="0"/>
      <w:marRight w:val="0"/>
      <w:marTop w:val="0"/>
      <w:marBottom w:val="0"/>
      <w:divBdr>
        <w:top w:val="none" w:sz="0" w:space="0" w:color="auto"/>
        <w:left w:val="none" w:sz="0" w:space="0" w:color="auto"/>
        <w:bottom w:val="none" w:sz="0" w:space="0" w:color="auto"/>
        <w:right w:val="none" w:sz="0" w:space="0" w:color="auto"/>
      </w:divBdr>
    </w:div>
    <w:div w:id="950169376">
      <w:bodyDiv w:val="1"/>
      <w:marLeft w:val="0"/>
      <w:marRight w:val="0"/>
      <w:marTop w:val="0"/>
      <w:marBottom w:val="0"/>
      <w:divBdr>
        <w:top w:val="none" w:sz="0" w:space="0" w:color="auto"/>
        <w:left w:val="none" w:sz="0" w:space="0" w:color="auto"/>
        <w:bottom w:val="none" w:sz="0" w:space="0" w:color="auto"/>
        <w:right w:val="none" w:sz="0" w:space="0" w:color="auto"/>
      </w:divBdr>
    </w:div>
    <w:div w:id="1208571221">
      <w:bodyDiv w:val="1"/>
      <w:marLeft w:val="0"/>
      <w:marRight w:val="0"/>
      <w:marTop w:val="0"/>
      <w:marBottom w:val="0"/>
      <w:divBdr>
        <w:top w:val="none" w:sz="0" w:space="0" w:color="auto"/>
        <w:left w:val="none" w:sz="0" w:space="0" w:color="auto"/>
        <w:bottom w:val="none" w:sz="0" w:space="0" w:color="auto"/>
        <w:right w:val="none" w:sz="0" w:space="0" w:color="auto"/>
      </w:divBdr>
    </w:div>
    <w:div w:id="1354771794">
      <w:bodyDiv w:val="1"/>
      <w:marLeft w:val="0"/>
      <w:marRight w:val="0"/>
      <w:marTop w:val="0"/>
      <w:marBottom w:val="0"/>
      <w:divBdr>
        <w:top w:val="none" w:sz="0" w:space="0" w:color="auto"/>
        <w:left w:val="none" w:sz="0" w:space="0" w:color="auto"/>
        <w:bottom w:val="none" w:sz="0" w:space="0" w:color="auto"/>
        <w:right w:val="none" w:sz="0" w:space="0" w:color="auto"/>
      </w:divBdr>
    </w:div>
    <w:div w:id="1419523754">
      <w:bodyDiv w:val="1"/>
      <w:marLeft w:val="0"/>
      <w:marRight w:val="0"/>
      <w:marTop w:val="0"/>
      <w:marBottom w:val="0"/>
      <w:divBdr>
        <w:top w:val="none" w:sz="0" w:space="0" w:color="auto"/>
        <w:left w:val="none" w:sz="0" w:space="0" w:color="auto"/>
        <w:bottom w:val="none" w:sz="0" w:space="0" w:color="auto"/>
        <w:right w:val="none" w:sz="0" w:space="0" w:color="auto"/>
      </w:divBdr>
    </w:div>
    <w:div w:id="1464008830">
      <w:bodyDiv w:val="1"/>
      <w:marLeft w:val="0"/>
      <w:marRight w:val="0"/>
      <w:marTop w:val="0"/>
      <w:marBottom w:val="0"/>
      <w:divBdr>
        <w:top w:val="none" w:sz="0" w:space="0" w:color="auto"/>
        <w:left w:val="none" w:sz="0" w:space="0" w:color="auto"/>
        <w:bottom w:val="none" w:sz="0" w:space="0" w:color="auto"/>
        <w:right w:val="none" w:sz="0" w:space="0" w:color="auto"/>
      </w:divBdr>
    </w:div>
    <w:div w:id="1539707116">
      <w:bodyDiv w:val="1"/>
      <w:marLeft w:val="0"/>
      <w:marRight w:val="0"/>
      <w:marTop w:val="0"/>
      <w:marBottom w:val="0"/>
      <w:divBdr>
        <w:top w:val="none" w:sz="0" w:space="0" w:color="auto"/>
        <w:left w:val="none" w:sz="0" w:space="0" w:color="auto"/>
        <w:bottom w:val="none" w:sz="0" w:space="0" w:color="auto"/>
        <w:right w:val="none" w:sz="0" w:space="0" w:color="auto"/>
      </w:divBdr>
    </w:div>
    <w:div w:id="1675911726">
      <w:bodyDiv w:val="1"/>
      <w:marLeft w:val="0"/>
      <w:marRight w:val="0"/>
      <w:marTop w:val="0"/>
      <w:marBottom w:val="0"/>
      <w:divBdr>
        <w:top w:val="none" w:sz="0" w:space="0" w:color="auto"/>
        <w:left w:val="none" w:sz="0" w:space="0" w:color="auto"/>
        <w:bottom w:val="none" w:sz="0" w:space="0" w:color="auto"/>
        <w:right w:val="none" w:sz="0" w:space="0" w:color="auto"/>
      </w:divBdr>
    </w:div>
    <w:div w:id="1718774151">
      <w:bodyDiv w:val="1"/>
      <w:marLeft w:val="0"/>
      <w:marRight w:val="0"/>
      <w:marTop w:val="0"/>
      <w:marBottom w:val="0"/>
      <w:divBdr>
        <w:top w:val="none" w:sz="0" w:space="0" w:color="auto"/>
        <w:left w:val="none" w:sz="0" w:space="0" w:color="auto"/>
        <w:bottom w:val="none" w:sz="0" w:space="0" w:color="auto"/>
        <w:right w:val="none" w:sz="0" w:space="0" w:color="auto"/>
      </w:divBdr>
    </w:div>
    <w:div w:id="1755200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Excel_Worksheet3.xlsx"/><Relationship Id="rId18" Type="http://schemas.openxmlformats.org/officeDocument/2006/relationships/image" Target="media/image6.em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package" Target="embeddings/Microsoft_Excel_Worksheet7.xlsx"/><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Microsoft_Excel_Worksheet5.xlsx"/><Relationship Id="rId25" Type="http://schemas.openxmlformats.org/officeDocument/2006/relationships/package" Target="embeddings/Microsoft_Excel_Worksheet9.xlsx"/><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Excel_Worksheet2.xlsx"/><Relationship Id="rId24" Type="http://schemas.openxmlformats.org/officeDocument/2006/relationships/image" Target="media/image9.emf"/><Relationship Id="rId5" Type="http://schemas.openxmlformats.org/officeDocument/2006/relationships/webSettings" Target="webSettings.xml"/><Relationship Id="rId15" Type="http://schemas.openxmlformats.org/officeDocument/2006/relationships/package" Target="embeddings/Microsoft_Excel_Worksheet4.xlsx"/><Relationship Id="rId23" Type="http://schemas.openxmlformats.org/officeDocument/2006/relationships/package" Target="embeddings/Microsoft_Excel_Worksheet8.xlsx"/><Relationship Id="rId28"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package" Target="embeddings/Microsoft_Excel_Worksheet6.xlsx"/><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package" Target="embeddings/Microsoft_Excel_Worksheet1.xls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header" Target="header2.xml"/><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C5960C-FF4C-49E0-90B4-59A0D24EF2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6994</Words>
  <Characters>38472</Characters>
  <Application>Microsoft Office Word</Application>
  <DocSecurity>0</DocSecurity>
  <Lines>320</Lines>
  <Paragraphs>90</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45376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2020-04-24T22:07:00Z</dcterms:created>
  <dcterms:modified xsi:type="dcterms:W3CDTF">2022-05-06T15:42:00Z</dcterms:modified>
</cp:coreProperties>
</file>