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C5146" w14:textId="04710D9D" w:rsidR="00EA7AAD" w:rsidRPr="000D1A16" w:rsidRDefault="008C74B9" w:rsidP="00EA7AAD">
      <w:pPr>
        <w:rPr>
          <w:rFonts w:ascii="Arial" w:hAnsi="Arial" w:cs="Arial"/>
          <w:b/>
          <w:bCs/>
          <w:sz w:val="20"/>
          <w:szCs w:val="20"/>
          <w:lang w:eastAsia="es-EC"/>
        </w:rPr>
      </w:pPr>
      <w:r w:rsidRPr="000D1A16">
        <w:rPr>
          <w:rFonts w:ascii="Arial" w:hAnsi="Arial" w:cs="Arial"/>
          <w:b/>
          <w:bCs/>
          <w:sz w:val="20"/>
          <w:szCs w:val="20"/>
          <w:lang w:eastAsia="es-EC"/>
        </w:rPr>
        <w:t xml:space="preserve">Al </w:t>
      </w:r>
      <w:r w:rsidR="002E284F" w:rsidRPr="000D1A16">
        <w:rPr>
          <w:rFonts w:ascii="Arial" w:hAnsi="Arial" w:cs="Arial"/>
          <w:b/>
          <w:bCs/>
          <w:sz w:val="20"/>
          <w:szCs w:val="20"/>
          <w:lang w:eastAsia="es-EC"/>
        </w:rPr>
        <w:t>31</w:t>
      </w:r>
      <w:r w:rsidR="00164FB0" w:rsidRPr="000D1A16">
        <w:rPr>
          <w:rFonts w:ascii="Arial" w:hAnsi="Arial" w:cs="Arial"/>
          <w:b/>
          <w:bCs/>
          <w:sz w:val="20"/>
          <w:szCs w:val="20"/>
          <w:lang w:eastAsia="es-EC"/>
        </w:rPr>
        <w:t xml:space="preserve"> de </w:t>
      </w:r>
      <w:r w:rsidR="00B84B52" w:rsidRPr="000D1A16">
        <w:rPr>
          <w:rFonts w:ascii="Arial" w:hAnsi="Arial" w:cs="Arial"/>
          <w:b/>
          <w:bCs/>
          <w:sz w:val="20"/>
          <w:szCs w:val="20"/>
          <w:lang w:eastAsia="es-EC"/>
        </w:rPr>
        <w:t>diciem</w:t>
      </w:r>
      <w:r w:rsidR="002E284F" w:rsidRPr="000D1A16">
        <w:rPr>
          <w:rFonts w:ascii="Arial" w:hAnsi="Arial" w:cs="Arial"/>
          <w:b/>
          <w:bCs/>
          <w:sz w:val="20"/>
          <w:szCs w:val="20"/>
          <w:lang w:eastAsia="es-EC"/>
        </w:rPr>
        <w:t>b</w:t>
      </w:r>
      <w:r w:rsidR="00B84B52" w:rsidRPr="000D1A16">
        <w:rPr>
          <w:rFonts w:ascii="Arial" w:hAnsi="Arial" w:cs="Arial"/>
          <w:b/>
          <w:bCs/>
          <w:sz w:val="20"/>
          <w:szCs w:val="20"/>
          <w:lang w:eastAsia="es-EC"/>
        </w:rPr>
        <w:t>r</w:t>
      </w:r>
      <w:r w:rsidR="002E284F" w:rsidRPr="000D1A16">
        <w:rPr>
          <w:rFonts w:ascii="Arial" w:hAnsi="Arial" w:cs="Arial"/>
          <w:b/>
          <w:bCs/>
          <w:sz w:val="20"/>
          <w:szCs w:val="20"/>
          <w:lang w:eastAsia="es-EC"/>
        </w:rPr>
        <w:t>e</w:t>
      </w:r>
      <w:r w:rsidR="00164FB0" w:rsidRPr="000D1A16">
        <w:rPr>
          <w:rFonts w:ascii="Arial" w:hAnsi="Arial" w:cs="Arial"/>
          <w:b/>
          <w:bCs/>
          <w:sz w:val="20"/>
          <w:szCs w:val="20"/>
          <w:lang w:eastAsia="es-EC"/>
        </w:rPr>
        <w:t xml:space="preserve"> de</w:t>
      </w:r>
      <w:r w:rsidR="002E284F" w:rsidRPr="000D1A16">
        <w:rPr>
          <w:rFonts w:ascii="Arial" w:hAnsi="Arial" w:cs="Arial"/>
          <w:b/>
          <w:bCs/>
          <w:sz w:val="20"/>
          <w:szCs w:val="20"/>
          <w:lang w:eastAsia="es-EC"/>
        </w:rPr>
        <w:t>l</w:t>
      </w:r>
      <w:r w:rsidR="00DC1CD8">
        <w:rPr>
          <w:rFonts w:ascii="Arial" w:hAnsi="Arial" w:cs="Arial"/>
          <w:b/>
          <w:bCs/>
          <w:sz w:val="20"/>
          <w:szCs w:val="20"/>
          <w:lang w:eastAsia="es-EC"/>
        </w:rPr>
        <w:t xml:space="preserve"> </w:t>
      </w:r>
      <w:r w:rsidR="00C03AB5">
        <w:rPr>
          <w:rFonts w:ascii="Arial" w:hAnsi="Arial" w:cs="Arial"/>
          <w:b/>
          <w:bCs/>
          <w:sz w:val="20"/>
          <w:szCs w:val="20"/>
          <w:lang w:eastAsia="es-EC"/>
        </w:rPr>
        <w:t>2024</w:t>
      </w:r>
      <w:r w:rsidR="00081F0B" w:rsidRPr="000D1A16">
        <w:rPr>
          <w:rFonts w:ascii="Arial" w:hAnsi="Arial" w:cs="Arial"/>
          <w:b/>
          <w:bCs/>
          <w:sz w:val="20"/>
          <w:szCs w:val="20"/>
          <w:lang w:eastAsia="es-EC"/>
        </w:rPr>
        <w:t>,</w:t>
      </w:r>
      <w:r w:rsidR="00164FB0" w:rsidRPr="000D1A16">
        <w:rPr>
          <w:rFonts w:ascii="Arial" w:hAnsi="Arial" w:cs="Arial"/>
          <w:b/>
          <w:bCs/>
          <w:sz w:val="20"/>
          <w:szCs w:val="20"/>
          <w:lang w:eastAsia="es-EC"/>
        </w:rPr>
        <w:t xml:space="preserve"> con cifras comparativas de</w:t>
      </w:r>
      <w:r w:rsidR="002E284F" w:rsidRPr="000D1A16">
        <w:rPr>
          <w:rFonts w:ascii="Arial" w:hAnsi="Arial" w:cs="Arial"/>
          <w:b/>
          <w:bCs/>
          <w:sz w:val="20"/>
          <w:szCs w:val="20"/>
          <w:lang w:eastAsia="es-EC"/>
        </w:rPr>
        <w:t xml:space="preserve">l año </w:t>
      </w:r>
      <w:r w:rsidR="00C03AB5">
        <w:rPr>
          <w:rFonts w:ascii="Arial" w:hAnsi="Arial" w:cs="Arial"/>
          <w:b/>
          <w:bCs/>
          <w:sz w:val="20"/>
          <w:szCs w:val="20"/>
          <w:lang w:eastAsia="es-EC"/>
        </w:rPr>
        <w:t>2023</w:t>
      </w:r>
    </w:p>
    <w:p w14:paraId="5636A300" w14:textId="77777777" w:rsidR="00E9662A" w:rsidRPr="000D1A16" w:rsidRDefault="00E9662A" w:rsidP="00E9662A">
      <w:pPr>
        <w:pBdr>
          <w:bottom w:val="single" w:sz="4" w:space="1" w:color="auto"/>
        </w:pBdr>
        <w:jc w:val="both"/>
        <w:rPr>
          <w:rFonts w:ascii="Arial" w:hAnsi="Arial" w:cs="Arial"/>
          <w:b/>
          <w:bCs/>
          <w:sz w:val="20"/>
          <w:szCs w:val="20"/>
        </w:rPr>
      </w:pPr>
    </w:p>
    <w:p w14:paraId="0918162A" w14:textId="77777777" w:rsidR="00E9662A" w:rsidRPr="000D1A16" w:rsidRDefault="00E9662A" w:rsidP="00E9662A">
      <w:pPr>
        <w:pBdr>
          <w:bottom w:val="single" w:sz="4" w:space="1" w:color="auto"/>
        </w:pBdr>
        <w:jc w:val="both"/>
        <w:rPr>
          <w:rFonts w:ascii="Arial" w:hAnsi="Arial" w:cs="Arial"/>
          <w:b/>
          <w:bCs/>
          <w:sz w:val="20"/>
          <w:szCs w:val="20"/>
        </w:rPr>
      </w:pPr>
      <w:r w:rsidRPr="000D1A16">
        <w:rPr>
          <w:rFonts w:ascii="Arial" w:hAnsi="Arial" w:cs="Arial"/>
          <w:b/>
          <w:bCs/>
          <w:sz w:val="20"/>
          <w:szCs w:val="20"/>
        </w:rPr>
        <w:t xml:space="preserve">En </w:t>
      </w:r>
      <w:proofErr w:type="gramStart"/>
      <w:r w:rsidRPr="000D1A16">
        <w:rPr>
          <w:rFonts w:ascii="Arial" w:hAnsi="Arial" w:cs="Arial"/>
          <w:b/>
          <w:bCs/>
          <w:sz w:val="20"/>
          <w:szCs w:val="20"/>
        </w:rPr>
        <w:t>Dólares</w:t>
      </w:r>
      <w:proofErr w:type="gramEnd"/>
      <w:r w:rsidRPr="000D1A16">
        <w:rPr>
          <w:rFonts w:ascii="Arial" w:hAnsi="Arial" w:cs="Arial"/>
          <w:b/>
          <w:bCs/>
          <w:sz w:val="20"/>
          <w:szCs w:val="20"/>
        </w:rPr>
        <w:t xml:space="preserve"> de los Estados Unidos de América</w:t>
      </w:r>
    </w:p>
    <w:p w14:paraId="7C170798" w14:textId="77777777" w:rsidR="00E9662A" w:rsidRPr="000D1A16" w:rsidRDefault="00E9662A" w:rsidP="00E9662A">
      <w:pPr>
        <w:jc w:val="both"/>
        <w:rPr>
          <w:rFonts w:ascii="Arial" w:hAnsi="Arial" w:cs="Arial"/>
          <w:b/>
          <w:bCs/>
          <w:sz w:val="20"/>
          <w:szCs w:val="20"/>
          <w:u w:val="single"/>
        </w:rPr>
      </w:pPr>
    </w:p>
    <w:p w14:paraId="1A8B5738" w14:textId="77777777" w:rsidR="00395DBA" w:rsidRPr="000D1A16" w:rsidRDefault="00395DBA" w:rsidP="008D7017">
      <w:pPr>
        <w:pStyle w:val="Ttulo1"/>
        <w:rPr>
          <w:rFonts w:ascii="Arial" w:hAnsi="Arial" w:cs="Arial"/>
          <w:sz w:val="20"/>
        </w:rPr>
      </w:pPr>
      <w:r w:rsidRPr="000D1A16">
        <w:rPr>
          <w:rFonts w:ascii="Arial" w:hAnsi="Arial" w:cs="Arial"/>
          <w:sz w:val="20"/>
        </w:rPr>
        <w:t>NOTA 1 – OPERACIONES Y ENTORNO ECON</w:t>
      </w:r>
      <w:r w:rsidRPr="000D1A16">
        <w:rPr>
          <w:rFonts w:ascii="Arial" w:hAnsi="Arial" w:cs="Arial"/>
          <w:sz w:val="20"/>
          <w:lang w:val="es-EC"/>
        </w:rPr>
        <w:t>Ó</w:t>
      </w:r>
      <w:r w:rsidRPr="000D1A16">
        <w:rPr>
          <w:rFonts w:ascii="Arial" w:hAnsi="Arial" w:cs="Arial"/>
          <w:sz w:val="20"/>
        </w:rPr>
        <w:t>MICO</w:t>
      </w:r>
    </w:p>
    <w:p w14:paraId="6E9DC2B4" w14:textId="77777777" w:rsidR="00395DBA" w:rsidRPr="000D1A16" w:rsidRDefault="00395DBA" w:rsidP="008D7017">
      <w:pPr>
        <w:tabs>
          <w:tab w:val="left" w:pos="-720"/>
        </w:tabs>
        <w:suppressAutoHyphens/>
        <w:jc w:val="both"/>
        <w:rPr>
          <w:rFonts w:ascii="Arial" w:hAnsi="Arial" w:cs="Arial"/>
          <w:spacing w:val="-3"/>
          <w:sz w:val="20"/>
          <w:szCs w:val="20"/>
        </w:rPr>
      </w:pPr>
    </w:p>
    <w:p w14:paraId="3543588B" w14:textId="77777777" w:rsidR="00395DBA" w:rsidRPr="000D1A16" w:rsidRDefault="00395DBA" w:rsidP="008D7017">
      <w:pPr>
        <w:tabs>
          <w:tab w:val="left" w:pos="-720"/>
        </w:tabs>
        <w:suppressAutoHyphens/>
        <w:jc w:val="both"/>
        <w:rPr>
          <w:rFonts w:ascii="Arial" w:hAnsi="Arial" w:cs="Arial"/>
          <w:b/>
          <w:spacing w:val="-3"/>
          <w:sz w:val="20"/>
          <w:szCs w:val="20"/>
          <w:u w:val="single"/>
        </w:rPr>
      </w:pPr>
      <w:r w:rsidRPr="000D1A16">
        <w:rPr>
          <w:rFonts w:ascii="Arial" w:hAnsi="Arial" w:cs="Arial"/>
          <w:b/>
          <w:spacing w:val="-3"/>
          <w:sz w:val="20"/>
          <w:szCs w:val="20"/>
          <w:u w:val="single"/>
        </w:rPr>
        <w:t>Objeto social</w:t>
      </w:r>
    </w:p>
    <w:p w14:paraId="73A8AEB9" w14:textId="77777777" w:rsidR="00395DBA" w:rsidRPr="000D1A16" w:rsidRDefault="00395DBA" w:rsidP="008D7017">
      <w:pPr>
        <w:tabs>
          <w:tab w:val="left" w:pos="-720"/>
        </w:tabs>
        <w:suppressAutoHyphens/>
        <w:jc w:val="both"/>
        <w:rPr>
          <w:rFonts w:ascii="Arial" w:eastAsia="Arial" w:hAnsi="Arial" w:cs="Arial"/>
          <w:sz w:val="20"/>
          <w:szCs w:val="20"/>
          <w:lang w:val="es-EC" w:eastAsia="en-US"/>
        </w:rPr>
      </w:pPr>
    </w:p>
    <w:p w14:paraId="2943F46E" w14:textId="2F34771B" w:rsidR="00DC1CD8" w:rsidRPr="000D1A16" w:rsidRDefault="00CB6667" w:rsidP="00DC1CD8">
      <w:pPr>
        <w:numPr>
          <w:ilvl w:val="12"/>
          <w:numId w:val="0"/>
        </w:numPr>
        <w:ind w:right="18"/>
        <w:jc w:val="both"/>
        <w:rPr>
          <w:rFonts w:ascii="Arial" w:hAnsi="Arial" w:cs="Arial"/>
          <w:sz w:val="20"/>
          <w:szCs w:val="20"/>
        </w:rPr>
      </w:pPr>
      <w:r>
        <w:rPr>
          <w:rFonts w:ascii="Arial" w:hAnsi="Arial" w:cs="Arial"/>
          <w:sz w:val="20"/>
          <w:szCs w:val="20"/>
        </w:rPr>
        <w:t>ACTIVENERGY S.A.S</w:t>
      </w:r>
      <w:r w:rsidR="00DC1CD8" w:rsidRPr="000D1A16">
        <w:rPr>
          <w:rFonts w:ascii="Arial" w:hAnsi="Arial" w:cs="Arial"/>
          <w:sz w:val="20"/>
          <w:szCs w:val="20"/>
        </w:rPr>
        <w:t xml:space="preserve"> es una </w:t>
      </w:r>
      <w:r>
        <w:rPr>
          <w:rFonts w:ascii="Arial" w:hAnsi="Arial" w:cs="Arial"/>
          <w:sz w:val="20"/>
          <w:szCs w:val="20"/>
        </w:rPr>
        <w:t>sociedad por acciones simplificada</w:t>
      </w:r>
      <w:r w:rsidR="00DC1CD8" w:rsidRPr="000D1A16">
        <w:rPr>
          <w:rFonts w:ascii="Arial" w:hAnsi="Arial" w:cs="Arial"/>
          <w:sz w:val="20"/>
          <w:szCs w:val="20"/>
        </w:rPr>
        <w:t xml:space="preserve"> inscrita ante la Superintendencia de Compañías, Valores y Seguros, se constituye y empieza su</w:t>
      </w:r>
      <w:r w:rsidR="00DC1CD8">
        <w:rPr>
          <w:rFonts w:ascii="Arial" w:hAnsi="Arial" w:cs="Arial"/>
          <w:sz w:val="20"/>
          <w:szCs w:val="20"/>
        </w:rPr>
        <w:t xml:space="preserve">s actividades el </w:t>
      </w:r>
      <w:r>
        <w:rPr>
          <w:rFonts w:ascii="Arial" w:hAnsi="Arial" w:cs="Arial"/>
          <w:sz w:val="20"/>
          <w:szCs w:val="20"/>
        </w:rPr>
        <w:t>24</w:t>
      </w:r>
      <w:r w:rsidR="00DC1CD8">
        <w:rPr>
          <w:rFonts w:ascii="Arial" w:hAnsi="Arial" w:cs="Arial"/>
          <w:sz w:val="20"/>
          <w:szCs w:val="20"/>
        </w:rPr>
        <w:t xml:space="preserve"> de </w:t>
      </w:r>
      <w:r>
        <w:rPr>
          <w:rFonts w:ascii="Arial" w:hAnsi="Arial" w:cs="Arial"/>
          <w:sz w:val="20"/>
          <w:szCs w:val="20"/>
        </w:rPr>
        <w:t>junio</w:t>
      </w:r>
      <w:r w:rsidR="00DC1CD8">
        <w:rPr>
          <w:rFonts w:ascii="Arial" w:hAnsi="Arial" w:cs="Arial"/>
          <w:sz w:val="20"/>
          <w:szCs w:val="20"/>
        </w:rPr>
        <w:t xml:space="preserve"> de</w:t>
      </w:r>
      <w:r>
        <w:rPr>
          <w:rFonts w:ascii="Arial" w:hAnsi="Arial" w:cs="Arial"/>
          <w:sz w:val="20"/>
          <w:szCs w:val="20"/>
        </w:rPr>
        <w:t>l</w:t>
      </w:r>
      <w:r w:rsidR="00DC1CD8">
        <w:rPr>
          <w:rFonts w:ascii="Arial" w:hAnsi="Arial" w:cs="Arial"/>
          <w:sz w:val="20"/>
          <w:szCs w:val="20"/>
        </w:rPr>
        <w:t xml:space="preserve"> 20</w:t>
      </w:r>
      <w:r>
        <w:rPr>
          <w:rFonts w:ascii="Arial" w:hAnsi="Arial" w:cs="Arial"/>
          <w:sz w:val="20"/>
          <w:szCs w:val="20"/>
        </w:rPr>
        <w:t>2</w:t>
      </w:r>
      <w:r w:rsidR="00DC1CD8">
        <w:rPr>
          <w:rFonts w:ascii="Arial" w:hAnsi="Arial" w:cs="Arial"/>
          <w:sz w:val="20"/>
          <w:szCs w:val="20"/>
        </w:rPr>
        <w:t>1</w:t>
      </w:r>
      <w:r w:rsidR="00DC1CD8" w:rsidRPr="000D1A16">
        <w:rPr>
          <w:rFonts w:ascii="Arial" w:hAnsi="Arial" w:cs="Arial"/>
          <w:sz w:val="20"/>
          <w:szCs w:val="20"/>
        </w:rPr>
        <w:t>, siend</w:t>
      </w:r>
      <w:r w:rsidR="00DC1CD8">
        <w:rPr>
          <w:rFonts w:ascii="Arial" w:hAnsi="Arial" w:cs="Arial"/>
          <w:sz w:val="20"/>
          <w:szCs w:val="20"/>
        </w:rPr>
        <w:t xml:space="preserve">o sus actividades principales </w:t>
      </w:r>
      <w:r>
        <w:rPr>
          <w:rFonts w:ascii="Arial" w:hAnsi="Arial" w:cs="Arial"/>
          <w:sz w:val="20"/>
          <w:szCs w:val="20"/>
        </w:rPr>
        <w:t>la generación de energía solar mediante la operación y construcción de plantas fotovoltaicas, compra y venta de aparatos eléctricos.</w:t>
      </w:r>
    </w:p>
    <w:p w14:paraId="2F04F84E" w14:textId="77777777" w:rsidR="00DC1CD8" w:rsidRDefault="00DC1CD8" w:rsidP="00DC1CD8">
      <w:pPr>
        <w:numPr>
          <w:ilvl w:val="12"/>
          <w:numId w:val="0"/>
        </w:numPr>
        <w:ind w:right="18"/>
        <w:jc w:val="both"/>
        <w:rPr>
          <w:rFonts w:ascii="Arial" w:hAnsi="Arial" w:cs="Arial"/>
          <w:sz w:val="20"/>
          <w:szCs w:val="20"/>
        </w:rPr>
      </w:pPr>
    </w:p>
    <w:p w14:paraId="6CB681BB" w14:textId="226D30E9" w:rsidR="00DC1CD8" w:rsidRDefault="00DC1CD8" w:rsidP="00DC1CD8">
      <w:pPr>
        <w:numPr>
          <w:ilvl w:val="12"/>
          <w:numId w:val="0"/>
        </w:numPr>
        <w:ind w:right="18"/>
        <w:jc w:val="both"/>
        <w:rPr>
          <w:rFonts w:ascii="Arial" w:hAnsi="Arial" w:cs="Arial"/>
          <w:sz w:val="20"/>
          <w:szCs w:val="20"/>
        </w:rPr>
      </w:pPr>
      <w:r w:rsidRPr="000D1A16">
        <w:rPr>
          <w:rFonts w:ascii="Arial" w:hAnsi="Arial" w:cs="Arial"/>
          <w:sz w:val="20"/>
          <w:szCs w:val="20"/>
        </w:rPr>
        <w:t>La Compañía tiene su domicilio principal en la República del</w:t>
      </w:r>
      <w:r>
        <w:rPr>
          <w:rFonts w:ascii="Arial" w:hAnsi="Arial" w:cs="Arial"/>
          <w:sz w:val="20"/>
          <w:szCs w:val="20"/>
        </w:rPr>
        <w:t xml:space="preserve"> Ecuador, en la ciudad de Quito.</w:t>
      </w:r>
    </w:p>
    <w:p w14:paraId="51FA201A" w14:textId="03AE6DE6" w:rsidR="00C03AB5" w:rsidRDefault="00C03AB5" w:rsidP="00DC1CD8">
      <w:pPr>
        <w:numPr>
          <w:ilvl w:val="12"/>
          <w:numId w:val="0"/>
        </w:numPr>
        <w:ind w:right="18"/>
        <w:jc w:val="both"/>
        <w:rPr>
          <w:rFonts w:ascii="Arial" w:hAnsi="Arial" w:cs="Arial"/>
          <w:sz w:val="20"/>
          <w:szCs w:val="20"/>
        </w:rPr>
      </w:pPr>
    </w:p>
    <w:p w14:paraId="3E48B836" w14:textId="77777777" w:rsidR="00C03AB5" w:rsidRDefault="00C03AB5" w:rsidP="00C03AB5">
      <w:pPr>
        <w:tabs>
          <w:tab w:val="left" w:pos="-720"/>
        </w:tabs>
        <w:suppressAutoHyphens/>
        <w:jc w:val="both"/>
        <w:rPr>
          <w:rFonts w:ascii="Arial" w:hAnsi="Arial" w:cs="Arial"/>
          <w:b/>
          <w:spacing w:val="-3"/>
          <w:sz w:val="20"/>
          <w:szCs w:val="20"/>
          <w:u w:val="single"/>
        </w:rPr>
      </w:pPr>
      <w:r>
        <w:rPr>
          <w:rFonts w:ascii="Arial" w:hAnsi="Arial" w:cs="Arial"/>
          <w:b/>
          <w:spacing w:val="-3"/>
          <w:sz w:val="20"/>
          <w:szCs w:val="20"/>
          <w:u w:val="single"/>
        </w:rPr>
        <w:t>Situación Económica</w:t>
      </w:r>
    </w:p>
    <w:p w14:paraId="06CFD200" w14:textId="77777777" w:rsidR="00C03AB5" w:rsidRDefault="00C03AB5" w:rsidP="00C03AB5">
      <w:pPr>
        <w:tabs>
          <w:tab w:val="left" w:pos="-720"/>
        </w:tabs>
        <w:suppressAutoHyphens/>
        <w:jc w:val="both"/>
        <w:rPr>
          <w:rFonts w:ascii="Arial" w:hAnsi="Arial" w:cs="Arial"/>
          <w:b/>
          <w:spacing w:val="-3"/>
          <w:sz w:val="20"/>
          <w:szCs w:val="20"/>
          <w:u w:val="single"/>
        </w:rPr>
      </w:pPr>
    </w:p>
    <w:p w14:paraId="6DB8106E" w14:textId="77777777" w:rsidR="00C03AB5" w:rsidRDefault="00C03AB5" w:rsidP="00C03AB5">
      <w:pPr>
        <w:tabs>
          <w:tab w:val="left" w:pos="-720"/>
        </w:tabs>
        <w:suppressAutoHyphens/>
        <w:jc w:val="both"/>
        <w:rPr>
          <w:rFonts w:ascii="Arial" w:hAnsi="Arial" w:cs="Arial"/>
          <w:bCs/>
          <w:spacing w:val="-3"/>
          <w:sz w:val="20"/>
          <w:szCs w:val="20"/>
        </w:rPr>
      </w:pPr>
      <w:r>
        <w:rPr>
          <w:rFonts w:ascii="Arial" w:hAnsi="Arial" w:cs="Arial"/>
          <w:bCs/>
          <w:spacing w:val="-3"/>
          <w:sz w:val="20"/>
          <w:szCs w:val="20"/>
        </w:rPr>
        <w:t>Durante el año 2024, Ecuador enfrentó una de las etapas económicas más complejas de la última década, marcada por una recesión técnica y desafíos estructurales en diversos sectores. La actividad económica se contrajo en tres trimestres consecutivos, reflejando una desaceleración generalizada que afectó tanto al sector público como al privado.</w:t>
      </w:r>
    </w:p>
    <w:p w14:paraId="495B4246" w14:textId="77777777" w:rsidR="00C03AB5" w:rsidRDefault="00C03AB5" w:rsidP="00C03AB5">
      <w:pPr>
        <w:tabs>
          <w:tab w:val="left" w:pos="-720"/>
        </w:tabs>
        <w:suppressAutoHyphens/>
        <w:jc w:val="both"/>
        <w:rPr>
          <w:rFonts w:ascii="Arial" w:hAnsi="Arial" w:cs="Arial"/>
          <w:bCs/>
          <w:spacing w:val="-3"/>
          <w:sz w:val="20"/>
          <w:szCs w:val="20"/>
        </w:rPr>
      </w:pPr>
    </w:p>
    <w:p w14:paraId="4D0A4A13" w14:textId="77777777" w:rsidR="00C03AB5" w:rsidRDefault="00C03AB5" w:rsidP="00C03AB5">
      <w:pPr>
        <w:tabs>
          <w:tab w:val="left" w:pos="-720"/>
        </w:tabs>
        <w:suppressAutoHyphens/>
        <w:jc w:val="both"/>
        <w:rPr>
          <w:rFonts w:ascii="Arial" w:hAnsi="Arial" w:cs="Arial"/>
          <w:bCs/>
          <w:spacing w:val="-3"/>
          <w:sz w:val="20"/>
          <w:szCs w:val="20"/>
        </w:rPr>
      </w:pPr>
      <w:r>
        <w:rPr>
          <w:rFonts w:ascii="Arial" w:hAnsi="Arial" w:cs="Arial"/>
          <w:bCs/>
          <w:spacing w:val="-3"/>
          <w:sz w:val="20"/>
          <w:szCs w:val="20"/>
        </w:rPr>
        <w:t>Indicadores como el Producto Interno Bruto (PIB) tuvo contracciones del 1% al 1,5% durante los tres trimestres con referencia al año anterior; La Inversión bruta de capital fijo registró una caída del 6,2%, lo que refleja una baja en la confianza empresarial y en el dinamismo del sector productivo; Las Exportaciones: Se redujeron en un 5,1%, afectadas por condiciones externas desfavorables y problemas logísticos internos; El Gasto público disminuyó en un 1,04%, en parte debido a restricciones fiscales y una política de contención del gasto.</w:t>
      </w:r>
    </w:p>
    <w:p w14:paraId="1EC8A228" w14:textId="77777777" w:rsidR="00C03AB5" w:rsidRDefault="00C03AB5" w:rsidP="00C03AB5">
      <w:pPr>
        <w:tabs>
          <w:tab w:val="left" w:pos="-720"/>
        </w:tabs>
        <w:suppressAutoHyphens/>
        <w:jc w:val="both"/>
        <w:rPr>
          <w:rFonts w:ascii="Arial" w:hAnsi="Arial" w:cs="Arial"/>
          <w:bCs/>
          <w:spacing w:val="-3"/>
          <w:sz w:val="20"/>
          <w:szCs w:val="20"/>
        </w:rPr>
      </w:pPr>
    </w:p>
    <w:p w14:paraId="1201978D" w14:textId="77777777" w:rsidR="00C03AB5" w:rsidRDefault="00C03AB5" w:rsidP="00C03AB5">
      <w:pPr>
        <w:tabs>
          <w:tab w:val="left" w:pos="-720"/>
        </w:tabs>
        <w:suppressAutoHyphens/>
        <w:jc w:val="both"/>
        <w:rPr>
          <w:rFonts w:ascii="Arial" w:hAnsi="Arial" w:cs="Arial"/>
          <w:bCs/>
          <w:spacing w:val="-3"/>
          <w:sz w:val="20"/>
          <w:szCs w:val="20"/>
        </w:rPr>
      </w:pPr>
      <w:r>
        <w:rPr>
          <w:rFonts w:ascii="Arial" w:hAnsi="Arial" w:cs="Arial"/>
          <w:bCs/>
          <w:spacing w:val="-3"/>
          <w:sz w:val="20"/>
          <w:szCs w:val="20"/>
        </w:rPr>
        <w:t>Factores como la Crisis Energética obligó al gobierno a decretar cortes de electricidad de hasta 10 horas para el sector industrial. Más de 265 fábricas se vieron afectadas, generando pérdidas significativas para la economía nacional y profundizando la desaceleración; el aumento de la violencia y la amenaza del crimen organizado, el Gobierno propuso un incremento de $214 millones en el presupuesto de seguridad, con el fin de reforzar la respuesta del Estado y recuperar el control de territorios afectados.</w:t>
      </w:r>
    </w:p>
    <w:p w14:paraId="621FA67B" w14:textId="77777777" w:rsidR="00C03AB5" w:rsidRDefault="00C03AB5" w:rsidP="00C03AB5">
      <w:pPr>
        <w:tabs>
          <w:tab w:val="left" w:pos="-720"/>
        </w:tabs>
        <w:suppressAutoHyphens/>
        <w:jc w:val="both"/>
        <w:rPr>
          <w:rFonts w:ascii="Arial" w:hAnsi="Arial" w:cs="Arial"/>
          <w:bCs/>
          <w:spacing w:val="-3"/>
          <w:sz w:val="20"/>
          <w:szCs w:val="20"/>
        </w:rPr>
      </w:pPr>
    </w:p>
    <w:p w14:paraId="7342A79A" w14:textId="77777777" w:rsidR="00C03AB5" w:rsidRDefault="00C03AB5" w:rsidP="00C03AB5">
      <w:pPr>
        <w:tabs>
          <w:tab w:val="left" w:pos="-720"/>
        </w:tabs>
        <w:suppressAutoHyphens/>
        <w:jc w:val="both"/>
        <w:rPr>
          <w:rFonts w:ascii="Arial" w:hAnsi="Arial" w:cs="Arial"/>
          <w:bCs/>
          <w:spacing w:val="-3"/>
          <w:sz w:val="20"/>
          <w:szCs w:val="20"/>
        </w:rPr>
      </w:pPr>
      <w:r>
        <w:rPr>
          <w:rFonts w:ascii="Arial" w:hAnsi="Arial" w:cs="Arial"/>
          <w:bCs/>
          <w:spacing w:val="-3"/>
          <w:sz w:val="20"/>
          <w:szCs w:val="20"/>
        </w:rPr>
        <w:t>A pesar del escenario adverso de 2024, se proyecta una recuperación moderada para 2025. El Fondo Monetario Internacional (FMI) estima un crecimiento del PIB del 1,2%. Sin embargo, esta recuperación dependerá de varios factores como la estabilidad política, control efectivo de la crisis energética, avances en seguridad pública y reactivación del comercio e inversión</w:t>
      </w:r>
    </w:p>
    <w:p w14:paraId="55BACBF9" w14:textId="77777777" w:rsidR="00C03AB5" w:rsidRPr="000D1A16" w:rsidRDefault="00C03AB5" w:rsidP="00DC1CD8">
      <w:pPr>
        <w:numPr>
          <w:ilvl w:val="12"/>
          <w:numId w:val="0"/>
        </w:numPr>
        <w:ind w:right="18"/>
        <w:jc w:val="both"/>
        <w:rPr>
          <w:rFonts w:ascii="Arial" w:hAnsi="Arial" w:cs="Arial"/>
          <w:sz w:val="20"/>
          <w:szCs w:val="20"/>
        </w:rPr>
      </w:pPr>
    </w:p>
    <w:p w14:paraId="626F009F" w14:textId="77777777" w:rsidR="00B80195" w:rsidRDefault="00B80195" w:rsidP="00B80195">
      <w:pPr>
        <w:widowControl w:val="0"/>
        <w:tabs>
          <w:tab w:val="left" w:pos="567"/>
        </w:tabs>
        <w:ind w:right="50"/>
        <w:jc w:val="both"/>
        <w:outlineLvl w:val="0"/>
        <w:rPr>
          <w:rFonts w:ascii="Arial" w:hAnsi="Arial" w:cs="Arial"/>
          <w:b/>
          <w:bCs/>
          <w:sz w:val="20"/>
          <w:szCs w:val="20"/>
        </w:rPr>
      </w:pPr>
      <w:bookmarkStart w:id="0" w:name="_Toc322974703"/>
      <w:bookmarkStart w:id="1" w:name="_Toc383947454"/>
      <w:bookmarkStart w:id="2" w:name="_Toc422899928"/>
      <w:r w:rsidRPr="0050759F">
        <w:rPr>
          <w:rFonts w:ascii="Arial" w:hAnsi="Arial" w:cs="Arial"/>
          <w:b/>
          <w:spacing w:val="-2"/>
          <w:sz w:val="20"/>
          <w:szCs w:val="20"/>
        </w:rPr>
        <w:t xml:space="preserve">NOTA 2 – </w:t>
      </w:r>
      <w:r>
        <w:rPr>
          <w:rFonts w:ascii="Arial" w:hAnsi="Arial" w:cs="Arial"/>
          <w:b/>
          <w:bCs/>
          <w:sz w:val="20"/>
          <w:szCs w:val="20"/>
        </w:rPr>
        <w:t>BASES DE PRESENTACIÓN</w:t>
      </w:r>
    </w:p>
    <w:p w14:paraId="5777C68D" w14:textId="77777777" w:rsidR="00B80195" w:rsidRDefault="00B80195" w:rsidP="00B80195">
      <w:pPr>
        <w:jc w:val="both"/>
        <w:rPr>
          <w:rFonts w:ascii="Arial" w:hAnsi="Arial" w:cs="Arial"/>
          <w:sz w:val="20"/>
          <w:szCs w:val="20"/>
        </w:rPr>
      </w:pPr>
    </w:p>
    <w:p w14:paraId="2908F38E" w14:textId="5D5331E3" w:rsidR="00B80195" w:rsidRDefault="00176ACB" w:rsidP="00B80195">
      <w:pPr>
        <w:jc w:val="both"/>
        <w:rPr>
          <w:rFonts w:ascii="Arial" w:hAnsi="Arial" w:cs="Arial"/>
          <w:sz w:val="20"/>
          <w:szCs w:val="20"/>
        </w:rPr>
      </w:pPr>
      <w:r>
        <w:rPr>
          <w:rFonts w:ascii="Arial" w:hAnsi="Arial" w:cs="Arial"/>
          <w:sz w:val="20"/>
          <w:szCs w:val="20"/>
        </w:rPr>
        <w:t xml:space="preserve">Las bases </w:t>
      </w:r>
      <w:r w:rsidR="009453C3">
        <w:rPr>
          <w:rFonts w:ascii="Arial" w:hAnsi="Arial" w:cs="Arial"/>
          <w:sz w:val="20"/>
          <w:szCs w:val="20"/>
        </w:rPr>
        <w:t>de</w:t>
      </w:r>
      <w:r w:rsidR="00B80195">
        <w:rPr>
          <w:rFonts w:ascii="Arial" w:hAnsi="Arial" w:cs="Arial"/>
          <w:sz w:val="20"/>
          <w:szCs w:val="20"/>
        </w:rPr>
        <w:t xml:space="preserve"> preparación y presentación de los estados financieros es </w:t>
      </w:r>
      <w:r w:rsidR="009453C3">
        <w:rPr>
          <w:rFonts w:ascii="Arial" w:hAnsi="Arial" w:cs="Arial"/>
          <w:sz w:val="20"/>
          <w:szCs w:val="20"/>
        </w:rPr>
        <w:t xml:space="preserve">la </w:t>
      </w:r>
      <w:r w:rsidR="006E710E">
        <w:rPr>
          <w:rFonts w:ascii="Arial" w:hAnsi="Arial" w:cs="Arial"/>
          <w:sz w:val="20"/>
          <w:szCs w:val="20"/>
        </w:rPr>
        <w:t>siguiente</w:t>
      </w:r>
      <w:r w:rsidR="00B80195">
        <w:rPr>
          <w:rFonts w:ascii="Arial" w:hAnsi="Arial" w:cs="Arial"/>
          <w:sz w:val="20"/>
          <w:szCs w:val="20"/>
        </w:rPr>
        <w:t>:</w:t>
      </w:r>
    </w:p>
    <w:p w14:paraId="57744A61" w14:textId="77777777" w:rsidR="00B80195" w:rsidRPr="0050759F" w:rsidRDefault="00B80195" w:rsidP="00B80195">
      <w:pPr>
        <w:jc w:val="both"/>
        <w:rPr>
          <w:rFonts w:ascii="Arial" w:hAnsi="Arial" w:cs="Arial"/>
          <w:sz w:val="20"/>
          <w:szCs w:val="20"/>
        </w:rPr>
      </w:pPr>
    </w:p>
    <w:p w14:paraId="23564322" w14:textId="77777777" w:rsidR="00B80195" w:rsidRPr="00312F98" w:rsidRDefault="00B80195" w:rsidP="00161D0E">
      <w:pPr>
        <w:pStyle w:val="Prrafodelista"/>
        <w:numPr>
          <w:ilvl w:val="0"/>
          <w:numId w:val="22"/>
        </w:numPr>
        <w:spacing w:before="0" w:after="0"/>
        <w:ind w:left="567" w:hanging="567"/>
        <w:rPr>
          <w:rFonts w:ascii="Arial" w:hAnsi="Arial" w:cs="Arial"/>
          <w:b/>
          <w:sz w:val="20"/>
          <w:szCs w:val="20"/>
        </w:rPr>
      </w:pPr>
      <w:r w:rsidRPr="00312F98">
        <w:rPr>
          <w:rFonts w:ascii="Arial" w:hAnsi="Arial" w:cs="Arial"/>
          <w:b/>
          <w:sz w:val="20"/>
          <w:szCs w:val="20"/>
        </w:rPr>
        <w:t>Declaración de cumplimiento</w:t>
      </w:r>
    </w:p>
    <w:p w14:paraId="3F5A254D" w14:textId="77777777" w:rsidR="00B80195" w:rsidRPr="0050759F" w:rsidRDefault="00B80195" w:rsidP="00B80195">
      <w:pPr>
        <w:pStyle w:val="Prrafodelista"/>
        <w:spacing w:before="0" w:after="0"/>
        <w:ind w:left="567"/>
        <w:rPr>
          <w:rFonts w:ascii="Arial" w:hAnsi="Arial" w:cs="Arial"/>
          <w:sz w:val="20"/>
          <w:szCs w:val="20"/>
        </w:rPr>
      </w:pPr>
    </w:p>
    <w:p w14:paraId="0055CC6D" w14:textId="62778253"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Los estados financieros han sido preparados de conformidad con las Normas Internacionales de Información Financiera para Pequeñas y medianas Empresas (en adelante NIIF - PYMES) emitidas por el Consejo de Normas Internacionales de Contabilidad (International </w:t>
      </w:r>
      <w:proofErr w:type="spellStart"/>
      <w:r w:rsidRPr="0050759F">
        <w:rPr>
          <w:rFonts w:ascii="Arial" w:hAnsi="Arial" w:cs="Arial"/>
          <w:spacing w:val="-2"/>
          <w:sz w:val="20"/>
          <w:szCs w:val="20"/>
        </w:rPr>
        <w:t>Accounting</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Standars</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Board</w:t>
      </w:r>
      <w:proofErr w:type="spellEnd"/>
      <w:r w:rsidRPr="0050759F">
        <w:rPr>
          <w:rFonts w:ascii="Arial" w:hAnsi="Arial" w:cs="Arial"/>
          <w:spacing w:val="-2"/>
          <w:sz w:val="20"/>
          <w:szCs w:val="20"/>
        </w:rPr>
        <w:t xml:space="preserve"> “IASB” siglas en inglés). Las principales políticas contables adoptadas por la Compañía en la preparación de los estados financieros han sido definidas en función de las NIIF-PYMES vigentes al 31 de</w:t>
      </w:r>
      <w:r>
        <w:rPr>
          <w:rFonts w:ascii="Arial" w:hAnsi="Arial" w:cs="Arial"/>
          <w:spacing w:val="-2"/>
          <w:sz w:val="20"/>
          <w:szCs w:val="20"/>
        </w:rPr>
        <w:t xml:space="preserve"> diciembre de</w:t>
      </w:r>
      <w:r w:rsidR="00DC1CD8">
        <w:rPr>
          <w:rFonts w:ascii="Arial" w:hAnsi="Arial" w:cs="Arial"/>
          <w:spacing w:val="-2"/>
          <w:sz w:val="20"/>
          <w:szCs w:val="20"/>
        </w:rPr>
        <w:t xml:space="preserve">l </w:t>
      </w:r>
      <w:r w:rsidR="00C03AB5">
        <w:rPr>
          <w:rFonts w:ascii="Arial" w:hAnsi="Arial" w:cs="Arial"/>
          <w:spacing w:val="-2"/>
          <w:sz w:val="20"/>
          <w:szCs w:val="20"/>
        </w:rPr>
        <w:t>2024</w:t>
      </w:r>
      <w:r w:rsidRPr="0050759F">
        <w:rPr>
          <w:rFonts w:ascii="Arial" w:hAnsi="Arial" w:cs="Arial"/>
          <w:spacing w:val="-2"/>
          <w:sz w:val="20"/>
          <w:szCs w:val="20"/>
        </w:rPr>
        <w:t xml:space="preserve"> y han sido aplicadas de manera uniforme a todos los períodos que se presentan.</w:t>
      </w:r>
    </w:p>
    <w:p w14:paraId="76900FB7" w14:textId="77777777" w:rsidR="00B80195" w:rsidRPr="0050759F" w:rsidRDefault="00B80195" w:rsidP="00B80195">
      <w:pPr>
        <w:ind w:left="567"/>
        <w:jc w:val="both"/>
        <w:rPr>
          <w:rFonts w:ascii="Arial" w:hAnsi="Arial" w:cs="Arial"/>
          <w:spacing w:val="-2"/>
          <w:sz w:val="20"/>
          <w:szCs w:val="20"/>
        </w:rPr>
      </w:pPr>
    </w:p>
    <w:p w14:paraId="0FB7E070" w14:textId="3D88D320" w:rsidR="00B80195" w:rsidRPr="0050759F" w:rsidRDefault="00B80195" w:rsidP="00B80195">
      <w:pPr>
        <w:ind w:left="567"/>
        <w:jc w:val="both"/>
        <w:rPr>
          <w:rFonts w:ascii="Arial" w:hAnsi="Arial" w:cs="Arial"/>
          <w:sz w:val="20"/>
          <w:szCs w:val="20"/>
        </w:rPr>
      </w:pPr>
      <w:r w:rsidRPr="0050759F">
        <w:rPr>
          <w:rFonts w:ascii="Arial" w:hAnsi="Arial" w:cs="Arial"/>
          <w:sz w:val="20"/>
          <w:szCs w:val="20"/>
        </w:rPr>
        <w:lastRenderedPageBreak/>
        <w:t>Los estados financieros del año que ter</w:t>
      </w:r>
      <w:r w:rsidR="00DC1CD8">
        <w:rPr>
          <w:rFonts w:ascii="Arial" w:hAnsi="Arial" w:cs="Arial"/>
          <w:sz w:val="20"/>
          <w:szCs w:val="20"/>
        </w:rPr>
        <w:t xml:space="preserve">minó el 31 de diciembre del </w:t>
      </w:r>
      <w:r w:rsidR="00C03AB5">
        <w:rPr>
          <w:rFonts w:ascii="Arial" w:hAnsi="Arial" w:cs="Arial"/>
          <w:sz w:val="20"/>
          <w:szCs w:val="20"/>
        </w:rPr>
        <w:t>2024</w:t>
      </w:r>
      <w:r w:rsidRPr="0050759F">
        <w:rPr>
          <w:rFonts w:ascii="Arial" w:hAnsi="Arial" w:cs="Arial"/>
          <w:sz w:val="20"/>
          <w:szCs w:val="20"/>
        </w:rPr>
        <w:t xml:space="preserve"> de acuerdo a NIIF-PYMES fueron aprobados por la administración</w:t>
      </w:r>
      <w:r>
        <w:rPr>
          <w:rFonts w:ascii="Arial" w:hAnsi="Arial" w:cs="Arial"/>
          <w:sz w:val="20"/>
          <w:szCs w:val="20"/>
        </w:rPr>
        <w:t xml:space="preserve"> y s</w:t>
      </w:r>
      <w:r w:rsidRPr="0050759F">
        <w:rPr>
          <w:rFonts w:ascii="Arial" w:hAnsi="Arial" w:cs="Arial"/>
          <w:sz w:val="20"/>
          <w:szCs w:val="20"/>
        </w:rPr>
        <w:t>e estima que los estados financieros serán aprobados sin modificaciones por los accionistas.</w:t>
      </w:r>
    </w:p>
    <w:p w14:paraId="1C29DB6B" w14:textId="77777777" w:rsidR="00B80195" w:rsidRPr="0050759F" w:rsidRDefault="00B80195" w:rsidP="00B80195">
      <w:pPr>
        <w:ind w:left="567"/>
        <w:jc w:val="both"/>
        <w:rPr>
          <w:rFonts w:ascii="Arial" w:hAnsi="Arial" w:cs="Arial"/>
          <w:sz w:val="20"/>
          <w:szCs w:val="20"/>
        </w:rPr>
      </w:pPr>
    </w:p>
    <w:p w14:paraId="0CD34A3A" w14:textId="77777777"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Base de medición</w:t>
      </w:r>
    </w:p>
    <w:p w14:paraId="20D348F2" w14:textId="77777777" w:rsidR="00B80195" w:rsidRPr="0050759F" w:rsidRDefault="00B80195" w:rsidP="00B80195">
      <w:pPr>
        <w:ind w:left="567"/>
        <w:jc w:val="both"/>
        <w:rPr>
          <w:rFonts w:ascii="Arial" w:hAnsi="Arial" w:cs="Arial"/>
          <w:spacing w:val="-2"/>
          <w:sz w:val="20"/>
          <w:szCs w:val="20"/>
        </w:rPr>
      </w:pPr>
    </w:p>
    <w:p w14:paraId="64A23664" w14:textId="77777777" w:rsidR="00B80195" w:rsidRPr="0050759F" w:rsidRDefault="00B80195" w:rsidP="00B80195">
      <w:pPr>
        <w:pStyle w:val="Sangradetextonormal"/>
        <w:ind w:firstLine="0"/>
        <w:jc w:val="both"/>
        <w:rPr>
          <w:rFonts w:ascii="Arial" w:hAnsi="Arial" w:cs="Arial"/>
          <w:spacing w:val="-2"/>
          <w:sz w:val="20"/>
          <w:lang w:val="es-EC"/>
        </w:rPr>
      </w:pPr>
      <w:r w:rsidRPr="0050759F">
        <w:rPr>
          <w:rFonts w:ascii="Arial" w:hAnsi="Arial" w:cs="Arial"/>
          <w:spacing w:val="-2"/>
          <w:sz w:val="20"/>
        </w:rPr>
        <w:t xml:space="preserve">Los estados financieros han sido preparados sobre la base de costo histórico, excepto por los pasivos laborales de largo plazo que se reconocen al valor razonable determinado por un especialista. </w:t>
      </w:r>
    </w:p>
    <w:p w14:paraId="3E0D894C" w14:textId="77777777" w:rsidR="00B80195" w:rsidRPr="0050759F" w:rsidRDefault="00B80195" w:rsidP="00B80195">
      <w:pPr>
        <w:pStyle w:val="Sangradetextonormal"/>
        <w:ind w:firstLine="0"/>
        <w:jc w:val="both"/>
        <w:rPr>
          <w:rFonts w:ascii="Arial" w:hAnsi="Arial" w:cs="Arial"/>
          <w:spacing w:val="-2"/>
          <w:sz w:val="20"/>
          <w:lang w:val="es-EC"/>
        </w:rPr>
      </w:pPr>
    </w:p>
    <w:p w14:paraId="285902D3" w14:textId="77777777"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El costo histórico generalmente constituye el valor razonable de la contraprestación entregada a cambio de bienes y servicios.</w:t>
      </w:r>
    </w:p>
    <w:p w14:paraId="79CE26CD" w14:textId="77777777" w:rsidR="00B80195" w:rsidRDefault="00B80195" w:rsidP="00B80195">
      <w:pPr>
        <w:pStyle w:val="Prrafodelista"/>
        <w:spacing w:before="0" w:after="0"/>
        <w:ind w:left="0"/>
        <w:rPr>
          <w:rFonts w:ascii="Arial" w:hAnsi="Arial" w:cs="Arial"/>
          <w:spacing w:val="-2"/>
          <w:sz w:val="20"/>
          <w:szCs w:val="20"/>
          <w:lang w:val="es-ES"/>
        </w:rPr>
      </w:pPr>
    </w:p>
    <w:p w14:paraId="74B3719E" w14:textId="77777777"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 xml:space="preserve">Moneda funcional y presentación </w:t>
      </w:r>
    </w:p>
    <w:p w14:paraId="231AB103" w14:textId="77777777" w:rsidR="00B80195" w:rsidRPr="0050759F" w:rsidRDefault="00B80195" w:rsidP="00B80195">
      <w:pPr>
        <w:pStyle w:val="Prrafodelista"/>
        <w:spacing w:before="0" w:after="0"/>
        <w:ind w:left="567"/>
        <w:rPr>
          <w:rFonts w:ascii="Arial" w:hAnsi="Arial" w:cs="Arial"/>
          <w:b/>
          <w:spacing w:val="-2"/>
          <w:sz w:val="20"/>
          <w:szCs w:val="20"/>
          <w:u w:val="single"/>
        </w:rPr>
      </w:pPr>
    </w:p>
    <w:p w14:paraId="5205883F" w14:textId="252B30D0"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 xml:space="preserve">Los estados financieros se presentan en dólares de los Estados Unidos de América “US$” que es la moneda funcional y de </w:t>
      </w:r>
      <w:r w:rsidRPr="0050759F">
        <w:rPr>
          <w:rFonts w:ascii="Arial" w:hAnsi="Arial" w:cs="Arial"/>
          <w:spacing w:val="-2"/>
          <w:sz w:val="20"/>
          <w:lang w:val="es-EC"/>
        </w:rPr>
        <w:t>las operaciones</w:t>
      </w:r>
      <w:r w:rsidRPr="0050759F">
        <w:rPr>
          <w:rFonts w:ascii="Arial" w:hAnsi="Arial" w:cs="Arial"/>
          <w:spacing w:val="-2"/>
          <w:sz w:val="20"/>
        </w:rPr>
        <w:t xml:space="preserve"> de la Compañía. La información que se presenta en las notas y estados financieros están </w:t>
      </w:r>
      <w:r w:rsidRPr="0050759F">
        <w:rPr>
          <w:rFonts w:ascii="Arial" w:hAnsi="Arial" w:cs="Arial"/>
          <w:spacing w:val="-2"/>
          <w:sz w:val="20"/>
          <w:lang w:val="es-EC"/>
        </w:rPr>
        <w:t xml:space="preserve">en </w:t>
      </w:r>
      <w:r w:rsidR="00217218" w:rsidRPr="0050759F">
        <w:rPr>
          <w:rFonts w:ascii="Arial" w:hAnsi="Arial" w:cs="Arial"/>
          <w:spacing w:val="-2"/>
          <w:sz w:val="20"/>
        </w:rPr>
        <w:t>US$</w:t>
      </w:r>
      <w:r w:rsidRPr="0050759F">
        <w:rPr>
          <w:rFonts w:ascii="Arial" w:hAnsi="Arial" w:cs="Arial"/>
          <w:spacing w:val="-2"/>
          <w:sz w:val="20"/>
        </w:rPr>
        <w:t>, excepto cuando existen saldos o transacciones en otras monedas.</w:t>
      </w:r>
    </w:p>
    <w:p w14:paraId="3948AFA8" w14:textId="77777777" w:rsidR="00B80195" w:rsidRPr="0050759F" w:rsidRDefault="00B80195" w:rsidP="00B80195">
      <w:pPr>
        <w:pStyle w:val="Prrafodelista"/>
        <w:spacing w:before="0" w:after="0"/>
        <w:ind w:left="567"/>
        <w:jc w:val="center"/>
        <w:rPr>
          <w:rFonts w:ascii="Arial" w:hAnsi="Arial" w:cs="Arial"/>
          <w:spacing w:val="-2"/>
          <w:sz w:val="20"/>
          <w:szCs w:val="20"/>
        </w:rPr>
      </w:pPr>
    </w:p>
    <w:p w14:paraId="3487808C" w14:textId="77777777" w:rsidR="00B80195" w:rsidRPr="0050759F" w:rsidRDefault="00B80195" w:rsidP="00161D0E">
      <w:pPr>
        <w:numPr>
          <w:ilvl w:val="0"/>
          <w:numId w:val="22"/>
        </w:numPr>
        <w:ind w:left="567" w:hanging="567"/>
        <w:jc w:val="both"/>
        <w:rPr>
          <w:rFonts w:ascii="Arial" w:hAnsi="Arial" w:cs="Arial"/>
          <w:b/>
          <w:spacing w:val="-2"/>
          <w:sz w:val="20"/>
          <w:szCs w:val="20"/>
        </w:rPr>
      </w:pPr>
      <w:r w:rsidRPr="0050759F">
        <w:rPr>
          <w:rFonts w:ascii="Arial" w:hAnsi="Arial" w:cs="Arial"/>
          <w:b/>
          <w:spacing w:val="-2"/>
          <w:sz w:val="20"/>
          <w:szCs w:val="20"/>
        </w:rPr>
        <w:t>Clasificación de partidas en corrientes y no corrientes</w:t>
      </w:r>
    </w:p>
    <w:p w14:paraId="4D5B3D65" w14:textId="77777777" w:rsidR="00B80195" w:rsidRPr="0050759F" w:rsidRDefault="00B80195" w:rsidP="00B80195">
      <w:pPr>
        <w:ind w:left="567"/>
        <w:jc w:val="both"/>
        <w:rPr>
          <w:rFonts w:ascii="Arial" w:hAnsi="Arial" w:cs="Arial"/>
          <w:spacing w:val="-2"/>
          <w:sz w:val="20"/>
          <w:szCs w:val="20"/>
        </w:rPr>
      </w:pPr>
    </w:p>
    <w:p w14:paraId="404F30EB" w14:textId="42271CE3"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La E</w:t>
      </w:r>
      <w:r w:rsidR="008369B5">
        <w:rPr>
          <w:rFonts w:ascii="Arial" w:hAnsi="Arial" w:cs="Arial"/>
          <w:spacing w:val="-2"/>
          <w:sz w:val="20"/>
          <w:szCs w:val="20"/>
        </w:rPr>
        <w:t>mpresa</w:t>
      </w:r>
      <w:r w:rsidRPr="0050759F">
        <w:rPr>
          <w:rFonts w:ascii="Arial" w:hAnsi="Arial" w:cs="Arial"/>
          <w:spacing w:val="-2"/>
          <w:sz w:val="20"/>
          <w:szCs w:val="20"/>
        </w:rPr>
        <w:t xml:space="preserve"> presenta los activos y pasivos en el estado de situación financiera clasificados como corrientes y no corrientes. </w:t>
      </w:r>
    </w:p>
    <w:p w14:paraId="3914906C" w14:textId="77777777" w:rsidR="00B80195" w:rsidRPr="0050759F" w:rsidRDefault="00B80195" w:rsidP="00B80195">
      <w:pPr>
        <w:ind w:left="567"/>
        <w:jc w:val="both"/>
        <w:rPr>
          <w:rFonts w:ascii="Arial" w:hAnsi="Arial" w:cs="Arial"/>
          <w:spacing w:val="-2"/>
          <w:sz w:val="20"/>
          <w:szCs w:val="20"/>
        </w:rPr>
      </w:pPr>
    </w:p>
    <w:p w14:paraId="64F54C09"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Un activo se clasifica como corriente cuando la entidad:</w:t>
      </w:r>
    </w:p>
    <w:p w14:paraId="3172D614" w14:textId="77777777" w:rsidR="00B80195" w:rsidRPr="0050759F" w:rsidRDefault="00B80195" w:rsidP="00B80195">
      <w:pPr>
        <w:ind w:left="567"/>
        <w:jc w:val="both"/>
        <w:rPr>
          <w:rFonts w:ascii="Arial" w:hAnsi="Arial" w:cs="Arial"/>
          <w:spacing w:val="-2"/>
          <w:sz w:val="20"/>
          <w:szCs w:val="20"/>
        </w:rPr>
      </w:pPr>
    </w:p>
    <w:p w14:paraId="1D8B8AD2"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realizar el activo o tiene la intención de venderlo o consumirlo en su ciclo normal de operación;</w:t>
      </w:r>
    </w:p>
    <w:p w14:paraId="0D594DB1"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activo principalmente con fines de negociación;</w:t>
      </w:r>
    </w:p>
    <w:p w14:paraId="36064A01"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realizar el activo dentro de los doce meses siguientes después del período sobre el que se informa; o</w:t>
      </w:r>
    </w:p>
    <w:p w14:paraId="2A51E5E0"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activo es efectivo o equivalente al efectivo a menos que éste se encuentre restringido y no pueda ser intercambiado ni utilizado para cancelar un pasivo por un período mínimo de doce meses después del cierre del período sobre el que se informa.</w:t>
      </w:r>
    </w:p>
    <w:p w14:paraId="22EC903A" w14:textId="77777777" w:rsidR="00B80195" w:rsidRPr="0050759F" w:rsidRDefault="00B80195" w:rsidP="00B80195">
      <w:pPr>
        <w:ind w:left="567"/>
        <w:jc w:val="both"/>
        <w:rPr>
          <w:rFonts w:ascii="Arial" w:hAnsi="Arial" w:cs="Arial"/>
          <w:spacing w:val="-2"/>
          <w:sz w:val="20"/>
          <w:szCs w:val="20"/>
        </w:rPr>
      </w:pPr>
    </w:p>
    <w:p w14:paraId="6865D058"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Todos los demás activos se clasifican como no corrientes. </w:t>
      </w:r>
    </w:p>
    <w:p w14:paraId="24F6A08E" w14:textId="77777777" w:rsidR="00B80195" w:rsidRPr="0050759F" w:rsidRDefault="00B80195" w:rsidP="00B80195">
      <w:pPr>
        <w:ind w:left="567"/>
        <w:jc w:val="both"/>
        <w:rPr>
          <w:rFonts w:ascii="Arial" w:hAnsi="Arial" w:cs="Arial"/>
          <w:spacing w:val="-2"/>
          <w:sz w:val="20"/>
          <w:szCs w:val="20"/>
        </w:rPr>
      </w:pPr>
    </w:p>
    <w:p w14:paraId="247A203C" w14:textId="028D0180"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Un pasivo se clasifica como corriente cuando la E</w:t>
      </w:r>
      <w:r w:rsidR="009406B6">
        <w:rPr>
          <w:rFonts w:ascii="Arial" w:hAnsi="Arial" w:cs="Arial"/>
          <w:spacing w:val="-2"/>
          <w:sz w:val="20"/>
          <w:szCs w:val="20"/>
        </w:rPr>
        <w:t>mpresa</w:t>
      </w:r>
      <w:r w:rsidRPr="0050759F">
        <w:rPr>
          <w:rFonts w:ascii="Arial" w:hAnsi="Arial" w:cs="Arial"/>
          <w:spacing w:val="-2"/>
          <w:sz w:val="20"/>
          <w:szCs w:val="20"/>
        </w:rPr>
        <w:t>:</w:t>
      </w:r>
    </w:p>
    <w:p w14:paraId="7C335D8F" w14:textId="77777777" w:rsidR="00B80195" w:rsidRPr="0050759F" w:rsidRDefault="00B80195" w:rsidP="00B80195">
      <w:pPr>
        <w:ind w:left="567"/>
        <w:jc w:val="both"/>
        <w:rPr>
          <w:rFonts w:ascii="Arial" w:hAnsi="Arial" w:cs="Arial"/>
          <w:spacing w:val="-2"/>
          <w:sz w:val="20"/>
          <w:szCs w:val="20"/>
        </w:rPr>
      </w:pPr>
    </w:p>
    <w:p w14:paraId="599926E4"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liquidar el pasivo en su ciclo normal de operación;</w:t>
      </w:r>
    </w:p>
    <w:p w14:paraId="6375E10D"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pasivo principalmente con fines de negociación;</w:t>
      </w:r>
    </w:p>
    <w:p w14:paraId="3C47A2F7"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pasivo debe liquidarse dentro de los doce meses siguientes a la fecha de cierre del período sobre el que se informa; o</w:t>
      </w:r>
    </w:p>
    <w:p w14:paraId="23439F25" w14:textId="77777777"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no tiene un derecho incondicional para aplazar la cancelación del pasivo durante, al menos, los doce meses siguientes a la fecha de cierre del período sobre el que se informa.</w:t>
      </w:r>
    </w:p>
    <w:p w14:paraId="743D17DE" w14:textId="77777777" w:rsidR="00B80195" w:rsidRPr="0050759F" w:rsidRDefault="00B80195" w:rsidP="00B80195">
      <w:pPr>
        <w:ind w:left="567"/>
        <w:jc w:val="both"/>
        <w:rPr>
          <w:rFonts w:ascii="Arial" w:hAnsi="Arial" w:cs="Arial"/>
          <w:spacing w:val="-2"/>
          <w:sz w:val="20"/>
          <w:szCs w:val="20"/>
        </w:rPr>
      </w:pPr>
    </w:p>
    <w:p w14:paraId="66C9A026"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Todos los demás pasivos se clasifican como no corrientes.</w:t>
      </w:r>
    </w:p>
    <w:p w14:paraId="6011BF6C" w14:textId="77777777" w:rsidR="00B80195" w:rsidRPr="0050759F" w:rsidRDefault="00B80195" w:rsidP="00B80195">
      <w:pPr>
        <w:ind w:left="567"/>
        <w:jc w:val="both"/>
        <w:rPr>
          <w:rFonts w:ascii="Arial" w:hAnsi="Arial" w:cs="Arial"/>
          <w:spacing w:val="-2"/>
          <w:sz w:val="20"/>
          <w:szCs w:val="20"/>
        </w:rPr>
      </w:pPr>
    </w:p>
    <w:p w14:paraId="23E98879" w14:textId="64820A30"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Los activos y pasivos por impuestos diferidos se clasifican como activos y pasivos no corrientes, en todos los casos.</w:t>
      </w:r>
    </w:p>
    <w:p w14:paraId="6BCDC002" w14:textId="4F4BEE22" w:rsidR="00C03AB5" w:rsidRDefault="00C03AB5" w:rsidP="00B80195">
      <w:pPr>
        <w:ind w:left="567"/>
        <w:jc w:val="both"/>
        <w:rPr>
          <w:rFonts w:ascii="Arial" w:hAnsi="Arial" w:cs="Arial"/>
          <w:spacing w:val="-2"/>
          <w:sz w:val="20"/>
          <w:szCs w:val="20"/>
        </w:rPr>
      </w:pPr>
    </w:p>
    <w:p w14:paraId="2EFB6D49" w14:textId="77777777" w:rsidR="00C03AB5" w:rsidRPr="0050759F" w:rsidRDefault="00C03AB5" w:rsidP="00B80195">
      <w:pPr>
        <w:ind w:left="567"/>
        <w:jc w:val="both"/>
        <w:rPr>
          <w:rFonts w:ascii="Arial" w:hAnsi="Arial" w:cs="Arial"/>
          <w:spacing w:val="-2"/>
          <w:sz w:val="20"/>
          <w:szCs w:val="20"/>
        </w:rPr>
      </w:pPr>
    </w:p>
    <w:p w14:paraId="5125558F" w14:textId="77777777" w:rsidR="00B80195" w:rsidRDefault="00B80195" w:rsidP="00B80195">
      <w:pPr>
        <w:jc w:val="both"/>
        <w:rPr>
          <w:rFonts w:ascii="Arial" w:hAnsi="Arial" w:cs="Arial"/>
          <w:spacing w:val="-2"/>
          <w:sz w:val="20"/>
          <w:szCs w:val="20"/>
        </w:rPr>
      </w:pPr>
    </w:p>
    <w:p w14:paraId="2050335B" w14:textId="77777777" w:rsidR="00B80195" w:rsidRPr="000428CE" w:rsidRDefault="00B80195" w:rsidP="00B80195">
      <w:pPr>
        <w:widowControl w:val="0"/>
        <w:tabs>
          <w:tab w:val="left" w:pos="567"/>
        </w:tabs>
        <w:ind w:right="50"/>
        <w:jc w:val="both"/>
        <w:outlineLvl w:val="0"/>
        <w:rPr>
          <w:rFonts w:ascii="Arial" w:hAnsi="Arial" w:cs="Arial"/>
          <w:b/>
          <w:bCs/>
          <w:sz w:val="20"/>
          <w:szCs w:val="20"/>
        </w:rPr>
      </w:pPr>
      <w:r w:rsidRPr="000428CE">
        <w:rPr>
          <w:rFonts w:ascii="Arial" w:hAnsi="Arial" w:cs="Arial"/>
          <w:b/>
          <w:bCs/>
          <w:sz w:val="20"/>
          <w:szCs w:val="20"/>
        </w:rPr>
        <w:lastRenderedPageBreak/>
        <w:t>NOTA 3 - RESUMEN DE LAS PRINCIPALES POLÍTICAS CONTABLES</w:t>
      </w:r>
    </w:p>
    <w:p w14:paraId="3FCEECD2" w14:textId="77777777" w:rsidR="00B80195" w:rsidRPr="000428CE" w:rsidRDefault="00B80195" w:rsidP="00B80195">
      <w:pPr>
        <w:jc w:val="both"/>
        <w:rPr>
          <w:rFonts w:ascii="Arial" w:eastAsia="Arial" w:hAnsi="Arial" w:cs="Arial"/>
          <w:sz w:val="20"/>
          <w:szCs w:val="20"/>
        </w:rPr>
      </w:pPr>
    </w:p>
    <w:p w14:paraId="00600810" w14:textId="7ADBB7A8" w:rsidR="00B80195" w:rsidRPr="000428CE" w:rsidRDefault="00B80195" w:rsidP="00B80195">
      <w:pPr>
        <w:jc w:val="both"/>
        <w:rPr>
          <w:rFonts w:ascii="Arial" w:eastAsia="Arial" w:hAnsi="Arial" w:cs="Arial"/>
          <w:sz w:val="20"/>
          <w:szCs w:val="20"/>
        </w:rPr>
      </w:pPr>
      <w:r w:rsidRPr="000428CE">
        <w:rPr>
          <w:rFonts w:ascii="Arial" w:eastAsia="Arial" w:hAnsi="Arial" w:cs="Arial"/>
          <w:sz w:val="20"/>
          <w:szCs w:val="20"/>
        </w:rPr>
        <w:t>Las principales políticas de contabilidad aplicadas por la Compañía en la preparación de los estados financieros son:</w:t>
      </w:r>
    </w:p>
    <w:p w14:paraId="7F220422" w14:textId="77777777" w:rsidR="00B80195" w:rsidRPr="00F21D57" w:rsidRDefault="00B80195" w:rsidP="00B80195">
      <w:pPr>
        <w:jc w:val="both"/>
        <w:rPr>
          <w:rFonts w:ascii="Arial" w:hAnsi="Arial" w:cs="Arial"/>
          <w:spacing w:val="-2"/>
          <w:sz w:val="20"/>
          <w:szCs w:val="20"/>
        </w:rPr>
      </w:pPr>
    </w:p>
    <w:p w14:paraId="570580A4" w14:textId="77777777" w:rsidR="00B80195" w:rsidRPr="00F21D57" w:rsidRDefault="00B80195" w:rsidP="00161D0E">
      <w:pPr>
        <w:numPr>
          <w:ilvl w:val="0"/>
          <w:numId w:val="23"/>
        </w:numPr>
        <w:ind w:left="567" w:hanging="567"/>
        <w:jc w:val="both"/>
        <w:rPr>
          <w:rFonts w:ascii="Arial" w:hAnsi="Arial" w:cs="Arial"/>
          <w:b/>
          <w:spacing w:val="-2"/>
          <w:sz w:val="20"/>
          <w:szCs w:val="20"/>
        </w:rPr>
      </w:pPr>
      <w:r w:rsidRPr="00F21D57">
        <w:rPr>
          <w:rFonts w:ascii="Arial" w:hAnsi="Arial" w:cs="Arial"/>
          <w:b/>
          <w:spacing w:val="-2"/>
          <w:sz w:val="20"/>
          <w:szCs w:val="20"/>
        </w:rPr>
        <w:t>Medición de Valores Razonables</w:t>
      </w:r>
    </w:p>
    <w:p w14:paraId="0924F836" w14:textId="77777777" w:rsidR="00B80195" w:rsidRPr="0050759F" w:rsidRDefault="00B80195" w:rsidP="00B80195">
      <w:pPr>
        <w:ind w:left="567"/>
        <w:jc w:val="both"/>
        <w:rPr>
          <w:rFonts w:ascii="Arial" w:hAnsi="Arial" w:cs="Arial"/>
          <w:spacing w:val="-2"/>
          <w:sz w:val="20"/>
          <w:szCs w:val="20"/>
        </w:rPr>
      </w:pPr>
    </w:p>
    <w:p w14:paraId="6A52E0EB"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La Compañía de acuerdo con lo establecido en las NIIF-PYMES de algunos rubros de los activos y pasivos financieros; los no financieros y de varias estimaciones contables requieren la determinación de valores razonables conforme lo establecen las NIIF-PYMES al: (i) reconocimiento inicial; (</w:t>
      </w:r>
      <w:proofErr w:type="spellStart"/>
      <w:r w:rsidRPr="0050759F">
        <w:rPr>
          <w:rFonts w:ascii="Arial" w:hAnsi="Arial" w:cs="Arial"/>
          <w:spacing w:val="-2"/>
          <w:sz w:val="20"/>
          <w:szCs w:val="20"/>
        </w:rPr>
        <w:t>ii</w:t>
      </w:r>
      <w:proofErr w:type="spellEnd"/>
      <w:r w:rsidRPr="0050759F">
        <w:rPr>
          <w:rFonts w:ascii="Arial" w:hAnsi="Arial" w:cs="Arial"/>
          <w:spacing w:val="-2"/>
          <w:sz w:val="20"/>
          <w:szCs w:val="20"/>
        </w:rPr>
        <w:t>) revelar en los estados financieros y notas; y, (</w:t>
      </w:r>
      <w:proofErr w:type="spellStart"/>
      <w:r w:rsidRPr="0050759F">
        <w:rPr>
          <w:rFonts w:ascii="Arial" w:hAnsi="Arial" w:cs="Arial"/>
          <w:spacing w:val="-2"/>
          <w:sz w:val="20"/>
          <w:szCs w:val="20"/>
        </w:rPr>
        <w:t>iii</w:t>
      </w:r>
      <w:proofErr w:type="spellEnd"/>
      <w:r w:rsidRPr="0050759F">
        <w:rPr>
          <w:rFonts w:ascii="Arial" w:hAnsi="Arial" w:cs="Arial"/>
          <w:spacing w:val="-2"/>
          <w:sz w:val="20"/>
          <w:szCs w:val="20"/>
        </w:rPr>
        <w:t>) reconocer los ajustes cuando existen indicios de deterioro de los activos financieros y de larga vida.</w:t>
      </w:r>
    </w:p>
    <w:p w14:paraId="088B8525" w14:textId="77777777" w:rsidR="00B80195" w:rsidRPr="0050759F" w:rsidRDefault="00B80195" w:rsidP="00B80195">
      <w:pPr>
        <w:ind w:left="567"/>
        <w:jc w:val="both"/>
        <w:rPr>
          <w:rFonts w:ascii="Arial" w:hAnsi="Arial" w:cs="Arial"/>
          <w:spacing w:val="-2"/>
          <w:sz w:val="20"/>
          <w:szCs w:val="20"/>
        </w:rPr>
      </w:pPr>
    </w:p>
    <w:p w14:paraId="6B7F93E3"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Compañía </w:t>
      </w:r>
      <w:r>
        <w:rPr>
          <w:rFonts w:ascii="Arial" w:hAnsi="Arial" w:cs="Arial"/>
          <w:spacing w:val="-2"/>
          <w:sz w:val="20"/>
          <w:szCs w:val="20"/>
        </w:rPr>
        <w:t>en</w:t>
      </w:r>
      <w:r w:rsidRPr="0050759F">
        <w:rPr>
          <w:rFonts w:ascii="Arial" w:hAnsi="Arial" w:cs="Arial"/>
          <w:spacing w:val="-2"/>
          <w:sz w:val="20"/>
          <w:szCs w:val="20"/>
        </w:rPr>
        <w:t xml:space="preserve"> la medición de un activo o pasivo a valores razonables utiliza información de mercados observables siempre que esta sea confiable tal como lo requieren las NIIF-PYMES. De acuerdo a lo requerido por las NIIF-PYMES, los valores razonables se clasifican en niveles distintos dentro de su jerarquía de valor razonable y los cuales se basan en las variables o técnicas de valoración, tal como sigue:</w:t>
      </w:r>
    </w:p>
    <w:p w14:paraId="18595531" w14:textId="77777777" w:rsidR="00B80195" w:rsidRPr="0050759F" w:rsidRDefault="00B80195" w:rsidP="00B80195">
      <w:pPr>
        <w:ind w:left="567"/>
        <w:jc w:val="both"/>
        <w:rPr>
          <w:rFonts w:ascii="Arial" w:hAnsi="Arial" w:cs="Arial"/>
          <w:spacing w:val="-2"/>
          <w:sz w:val="20"/>
          <w:szCs w:val="20"/>
        </w:rPr>
      </w:pPr>
    </w:p>
    <w:p w14:paraId="3625F7AB" w14:textId="77777777"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Valores de mercado:</w:t>
      </w:r>
      <w:r w:rsidRPr="0050759F">
        <w:rPr>
          <w:rFonts w:ascii="Arial" w:hAnsi="Arial" w:cs="Arial"/>
          <w:spacing w:val="-2"/>
          <w:sz w:val="20"/>
          <w:szCs w:val="20"/>
        </w:rPr>
        <w:t xml:space="preserve"> Precios cotizados (no ajustados) en mercados activos para los activos o pasivos idénticos o similares.</w:t>
      </w:r>
    </w:p>
    <w:p w14:paraId="699B1DCE" w14:textId="77777777" w:rsidR="00B80195" w:rsidRPr="0050759F" w:rsidRDefault="00B80195" w:rsidP="00B80195">
      <w:pPr>
        <w:pStyle w:val="Prrafodelista"/>
        <w:spacing w:before="0" w:after="0"/>
        <w:ind w:left="1134"/>
        <w:rPr>
          <w:rFonts w:ascii="Arial" w:hAnsi="Arial" w:cs="Arial"/>
          <w:spacing w:val="-2"/>
          <w:sz w:val="20"/>
          <w:szCs w:val="20"/>
        </w:rPr>
      </w:pPr>
    </w:p>
    <w:p w14:paraId="7ED35AFF" w14:textId="77777777"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Información diferente a precios de mercado del nivel anterior</w:t>
      </w:r>
      <w:r w:rsidRPr="0050759F">
        <w:rPr>
          <w:rFonts w:ascii="Arial" w:hAnsi="Arial" w:cs="Arial"/>
          <w:spacing w:val="-2"/>
          <w:sz w:val="20"/>
          <w:szCs w:val="20"/>
        </w:rPr>
        <w:t>: los cuales sean iguales para un activo o pasivo, los cuales provienen de valores directamente (precios de últimas transacciones) o indirectamente (derivados de los precios determinados por especialistas en función de estudios o precios referenciales).</w:t>
      </w:r>
    </w:p>
    <w:p w14:paraId="0D56EFD0" w14:textId="77777777" w:rsidR="00B80195" w:rsidRDefault="00B80195" w:rsidP="00B80195">
      <w:pPr>
        <w:pStyle w:val="Prrafodelista"/>
        <w:rPr>
          <w:rFonts w:ascii="Arial" w:hAnsi="Arial" w:cs="Arial"/>
          <w:spacing w:val="-2"/>
          <w:sz w:val="20"/>
          <w:szCs w:val="20"/>
        </w:rPr>
      </w:pPr>
    </w:p>
    <w:p w14:paraId="5B3AA5C0" w14:textId="77777777" w:rsidR="00B80195" w:rsidRPr="0050759F"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Información proveniente del uso de técnicas financiera:</w:t>
      </w:r>
      <w:r w:rsidRPr="0050759F">
        <w:rPr>
          <w:rFonts w:ascii="Arial" w:hAnsi="Arial" w:cs="Arial"/>
          <w:b/>
          <w:spacing w:val="-2"/>
          <w:sz w:val="20"/>
          <w:szCs w:val="20"/>
        </w:rPr>
        <w:t xml:space="preserve"> </w:t>
      </w:r>
      <w:r w:rsidRPr="0050759F">
        <w:rPr>
          <w:rFonts w:ascii="Arial" w:hAnsi="Arial" w:cs="Arial"/>
          <w:spacing w:val="-2"/>
          <w:sz w:val="20"/>
          <w:szCs w:val="20"/>
        </w:rPr>
        <w:t>aplicables a los datos internos del activo o pasivo y que no proviene de valores o información de mercado.</w:t>
      </w:r>
    </w:p>
    <w:p w14:paraId="73F59083" w14:textId="77777777" w:rsidR="00B80195" w:rsidRPr="0050759F" w:rsidRDefault="00B80195" w:rsidP="00B80195">
      <w:pPr>
        <w:ind w:left="567"/>
        <w:jc w:val="both"/>
        <w:rPr>
          <w:rFonts w:ascii="Arial" w:hAnsi="Arial" w:cs="Arial"/>
          <w:spacing w:val="-2"/>
          <w:sz w:val="20"/>
          <w:szCs w:val="20"/>
          <w:lang w:val="es-EC"/>
        </w:rPr>
      </w:pPr>
    </w:p>
    <w:p w14:paraId="2EB5E2A8" w14:textId="77777777"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información o variables que se utilicen para medir el valor razonable de un activo o pasivo, pueden clasificarse en uno de los niveles de jerarquía detallados anteriormente, por </w:t>
      </w:r>
      <w:proofErr w:type="gramStart"/>
      <w:r w:rsidRPr="0050759F">
        <w:rPr>
          <w:rFonts w:ascii="Arial" w:hAnsi="Arial" w:cs="Arial"/>
          <w:spacing w:val="-2"/>
          <w:sz w:val="20"/>
          <w:szCs w:val="20"/>
        </w:rPr>
        <w:t>ende</w:t>
      </w:r>
      <w:proofErr w:type="gramEnd"/>
      <w:r w:rsidRPr="0050759F">
        <w:rPr>
          <w:rFonts w:ascii="Arial" w:hAnsi="Arial" w:cs="Arial"/>
          <w:spacing w:val="-2"/>
          <w:sz w:val="20"/>
          <w:szCs w:val="20"/>
        </w:rPr>
        <w:t xml:space="preserve"> la medición del valor razonable puede clasificarse en el mismo nivel de jerarquía del valor razonable de la variable del nivel más bajo que sea significativa para la medición total de los activos y pasivos. Los cambios entre los niveles de jerarquía del valor razonable se reconocen al cierre de cada período en el cual se originó el cambio.</w:t>
      </w:r>
    </w:p>
    <w:p w14:paraId="12C5249F" w14:textId="77777777" w:rsidR="00B80195" w:rsidRPr="0050759F" w:rsidRDefault="00B80195" w:rsidP="00B80195">
      <w:pPr>
        <w:ind w:left="567"/>
        <w:jc w:val="both"/>
        <w:rPr>
          <w:rFonts w:ascii="Arial" w:hAnsi="Arial" w:cs="Arial"/>
          <w:spacing w:val="-2"/>
          <w:sz w:val="20"/>
          <w:szCs w:val="20"/>
        </w:rPr>
      </w:pPr>
    </w:p>
    <w:p w14:paraId="301A9638" w14:textId="77777777"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información adicional sobre los supuestos o hechos para medir los valores razonables se incluye en la nota </w:t>
      </w:r>
      <w:r>
        <w:rPr>
          <w:rFonts w:ascii="Arial" w:hAnsi="Arial" w:cs="Arial"/>
          <w:spacing w:val="-2"/>
          <w:sz w:val="20"/>
          <w:szCs w:val="20"/>
        </w:rPr>
        <w:t>5</w:t>
      </w:r>
      <w:r w:rsidRPr="0050759F">
        <w:rPr>
          <w:rFonts w:ascii="Arial" w:hAnsi="Arial" w:cs="Arial"/>
          <w:spacing w:val="-2"/>
          <w:sz w:val="20"/>
          <w:szCs w:val="20"/>
        </w:rPr>
        <w:t>.</w:t>
      </w:r>
    </w:p>
    <w:p w14:paraId="0701AD80" w14:textId="77777777" w:rsidR="0015558F" w:rsidRPr="0050759F" w:rsidRDefault="0015558F" w:rsidP="00B80195">
      <w:pPr>
        <w:ind w:left="567"/>
        <w:jc w:val="both"/>
        <w:rPr>
          <w:rFonts w:ascii="Arial" w:hAnsi="Arial" w:cs="Arial"/>
          <w:sz w:val="20"/>
          <w:lang w:val="es-EC"/>
        </w:rPr>
      </w:pPr>
    </w:p>
    <w:p w14:paraId="6669C218" w14:textId="77777777"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Efectivo y equivalentes de efectivo</w:t>
      </w:r>
    </w:p>
    <w:p w14:paraId="0247EE36" w14:textId="77777777" w:rsidR="00B80195" w:rsidRPr="0050759F" w:rsidRDefault="00B80195" w:rsidP="00B80195">
      <w:pPr>
        <w:pStyle w:val="Sangradetextonormal"/>
        <w:tabs>
          <w:tab w:val="clear" w:pos="-720"/>
          <w:tab w:val="clear" w:pos="567"/>
        </w:tabs>
        <w:ind w:firstLine="0"/>
        <w:jc w:val="both"/>
        <w:rPr>
          <w:rFonts w:ascii="Arial" w:hAnsi="Arial" w:cs="Arial"/>
          <w:sz w:val="20"/>
          <w:lang w:val="es-ES"/>
        </w:rPr>
      </w:pPr>
    </w:p>
    <w:p w14:paraId="1C8A38C7" w14:textId="77777777" w:rsidR="00B80195" w:rsidRPr="0050759F" w:rsidRDefault="00B80195" w:rsidP="00B80195">
      <w:pPr>
        <w:ind w:left="567"/>
        <w:jc w:val="both"/>
        <w:rPr>
          <w:rFonts w:ascii="Arial" w:hAnsi="Arial" w:cs="Arial"/>
          <w:bCs/>
          <w:snapToGrid w:val="0"/>
          <w:sz w:val="20"/>
          <w:szCs w:val="20"/>
          <w:lang w:eastAsia="en-US"/>
        </w:rPr>
      </w:pPr>
      <w:r w:rsidRPr="0050759F">
        <w:rPr>
          <w:rFonts w:ascii="Arial" w:hAnsi="Arial" w:cs="Arial"/>
          <w:bCs/>
          <w:snapToGrid w:val="0"/>
          <w:sz w:val="20"/>
          <w:szCs w:val="20"/>
          <w:lang w:eastAsia="en-US"/>
        </w:rPr>
        <w:t>El efectivo y los equivalentes de efectivo para propósitos de estado de flujos efectivo constituye los saldos disponibles en caja bancos y depósitos a plazo en entidades financieras cuya liquidez es menor a los 90 días y están sujetos a disposición inmediata.</w:t>
      </w:r>
    </w:p>
    <w:p w14:paraId="7DB0F5BF" w14:textId="77777777" w:rsidR="00B80195" w:rsidRPr="0050759F" w:rsidRDefault="00B80195" w:rsidP="00B80195">
      <w:pPr>
        <w:ind w:left="567"/>
        <w:jc w:val="both"/>
        <w:rPr>
          <w:rFonts w:ascii="Arial" w:hAnsi="Arial" w:cs="Arial"/>
          <w:bCs/>
          <w:snapToGrid w:val="0"/>
          <w:sz w:val="20"/>
          <w:szCs w:val="20"/>
          <w:lang w:eastAsia="en-US"/>
        </w:rPr>
      </w:pPr>
    </w:p>
    <w:p w14:paraId="08D08DDC" w14:textId="77777777"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Instrumentos financieros</w:t>
      </w:r>
    </w:p>
    <w:p w14:paraId="43DEF2EF" w14:textId="77777777" w:rsidR="00B80195" w:rsidRPr="0050759F" w:rsidRDefault="00B80195" w:rsidP="00B80195">
      <w:pPr>
        <w:ind w:left="567"/>
        <w:jc w:val="both"/>
        <w:rPr>
          <w:rFonts w:ascii="Arial" w:hAnsi="Arial" w:cs="Arial"/>
          <w:b/>
          <w:bCs/>
          <w:snapToGrid w:val="0"/>
          <w:sz w:val="20"/>
          <w:szCs w:val="20"/>
          <w:lang w:eastAsia="en-US"/>
        </w:rPr>
      </w:pPr>
    </w:p>
    <w:p w14:paraId="5B1A95A3" w14:textId="77777777" w:rsidR="00B80195" w:rsidRPr="0087024F" w:rsidRDefault="00B80195" w:rsidP="00B80195">
      <w:pPr>
        <w:tabs>
          <w:tab w:val="left" w:pos="567"/>
        </w:tabs>
        <w:ind w:left="567"/>
        <w:jc w:val="both"/>
        <w:rPr>
          <w:rFonts w:ascii="Arial" w:hAnsi="Arial" w:cs="Arial"/>
          <w:sz w:val="20"/>
          <w:szCs w:val="20"/>
          <w:u w:val="single"/>
        </w:rPr>
      </w:pPr>
      <w:r w:rsidRPr="0050759F">
        <w:rPr>
          <w:rFonts w:ascii="Arial" w:hAnsi="Arial" w:cs="Arial"/>
          <w:sz w:val="20"/>
          <w:szCs w:val="20"/>
        </w:rPr>
        <w:t>Los instrumentos financieros activos y pasivos financieros y derivados se clasifican de acuerdo con las características y la finalidad de cada instrumento financiero, tal como lo requiere</w:t>
      </w:r>
      <w:r>
        <w:rPr>
          <w:rFonts w:ascii="Arial" w:hAnsi="Arial" w:cs="Arial"/>
          <w:sz w:val="20"/>
          <w:szCs w:val="20"/>
        </w:rPr>
        <w:t xml:space="preserve"> la Sección 11 de las </w:t>
      </w:r>
      <w:proofErr w:type="spellStart"/>
      <w:r>
        <w:rPr>
          <w:rFonts w:ascii="Arial" w:hAnsi="Arial" w:cs="Arial"/>
          <w:sz w:val="20"/>
          <w:szCs w:val="20"/>
        </w:rPr>
        <w:t>NIIFs</w:t>
      </w:r>
      <w:proofErr w:type="spellEnd"/>
      <w:r>
        <w:rPr>
          <w:rFonts w:ascii="Arial" w:hAnsi="Arial" w:cs="Arial"/>
          <w:sz w:val="20"/>
          <w:szCs w:val="20"/>
        </w:rPr>
        <w:t xml:space="preserve"> PYMES</w:t>
      </w:r>
      <w:r w:rsidRPr="0050759F">
        <w:rPr>
          <w:rFonts w:ascii="Arial" w:hAnsi="Arial" w:cs="Arial"/>
          <w:sz w:val="20"/>
          <w:szCs w:val="20"/>
        </w:rPr>
        <w:t xml:space="preserve">. La clasificación depende del propósito para el cual se adquirieron los activos o contrataron los pasivos y la cual </w:t>
      </w:r>
      <w:r w:rsidRPr="0087024F">
        <w:rPr>
          <w:rFonts w:ascii="Arial" w:hAnsi="Arial" w:cs="Arial"/>
          <w:sz w:val="20"/>
          <w:szCs w:val="20"/>
        </w:rPr>
        <w:t>se determina a la fecha de su reconocimiento inicial.</w:t>
      </w:r>
    </w:p>
    <w:p w14:paraId="25EB6DC0" w14:textId="77777777" w:rsidR="00B80195" w:rsidRPr="0087024F" w:rsidRDefault="00B80195" w:rsidP="00B80195">
      <w:pPr>
        <w:ind w:left="567"/>
        <w:jc w:val="both"/>
        <w:rPr>
          <w:rFonts w:ascii="Arial" w:hAnsi="Arial" w:cs="Arial"/>
          <w:bCs/>
          <w:snapToGrid w:val="0"/>
          <w:sz w:val="20"/>
          <w:szCs w:val="20"/>
          <w:lang w:eastAsia="en-US"/>
        </w:rPr>
      </w:pPr>
    </w:p>
    <w:p w14:paraId="53DE28EE" w14:textId="77777777" w:rsidR="00B80195" w:rsidRPr="00327BEB" w:rsidRDefault="00B80195" w:rsidP="00B80195">
      <w:pPr>
        <w:ind w:left="567"/>
        <w:jc w:val="both"/>
        <w:rPr>
          <w:rFonts w:ascii="Arial" w:hAnsi="Arial" w:cs="Arial"/>
          <w:b/>
          <w:sz w:val="20"/>
          <w:szCs w:val="20"/>
          <w:u w:val="single"/>
          <w:lang w:val="es-EC" w:eastAsia="es-EC"/>
        </w:rPr>
      </w:pPr>
      <w:r w:rsidRPr="00E82995">
        <w:rPr>
          <w:rFonts w:ascii="Arial" w:hAnsi="Arial" w:cs="Arial"/>
          <w:b/>
          <w:sz w:val="20"/>
          <w:szCs w:val="20"/>
          <w:u w:val="single"/>
          <w:lang w:val="es-EC" w:eastAsia="es-EC"/>
        </w:rPr>
        <w:lastRenderedPageBreak/>
        <w:t>Activos financieros</w:t>
      </w:r>
    </w:p>
    <w:p w14:paraId="0CD5058F" w14:textId="77777777" w:rsidR="00B80195" w:rsidRPr="00312F98" w:rsidRDefault="00B80195" w:rsidP="00B80195">
      <w:pPr>
        <w:jc w:val="both"/>
        <w:rPr>
          <w:rFonts w:ascii="Arial" w:hAnsi="Arial" w:cs="Arial"/>
          <w:sz w:val="20"/>
          <w:szCs w:val="20"/>
          <w:lang w:val="es-EC" w:eastAsia="es-EC"/>
        </w:rPr>
      </w:pPr>
    </w:p>
    <w:p w14:paraId="63430348" w14:textId="77777777" w:rsidR="00B80195" w:rsidRPr="00312F98" w:rsidRDefault="00B80195" w:rsidP="00B80195">
      <w:pPr>
        <w:ind w:left="567"/>
        <w:jc w:val="both"/>
        <w:rPr>
          <w:rFonts w:ascii="Arial" w:hAnsi="Arial" w:cs="Arial"/>
          <w:b/>
          <w:sz w:val="20"/>
          <w:szCs w:val="20"/>
          <w:lang w:val="es-EC" w:eastAsia="es-EC"/>
        </w:rPr>
      </w:pPr>
      <w:r w:rsidRPr="00312F98">
        <w:rPr>
          <w:rFonts w:ascii="Arial" w:hAnsi="Arial" w:cs="Arial"/>
          <w:b/>
          <w:sz w:val="20"/>
          <w:szCs w:val="20"/>
          <w:lang w:val="es-EC" w:eastAsia="es-EC"/>
        </w:rPr>
        <w:t>Medición inicial</w:t>
      </w:r>
    </w:p>
    <w:p w14:paraId="1CE1D42C" w14:textId="77777777" w:rsidR="00B80195" w:rsidRPr="00312F98" w:rsidRDefault="00B80195" w:rsidP="00B80195">
      <w:pPr>
        <w:ind w:left="567"/>
        <w:jc w:val="both"/>
        <w:rPr>
          <w:rFonts w:ascii="Arial" w:hAnsi="Arial" w:cs="Arial"/>
          <w:sz w:val="20"/>
          <w:szCs w:val="20"/>
          <w:lang w:val="es-EC" w:eastAsia="es-EC"/>
        </w:rPr>
      </w:pPr>
    </w:p>
    <w:p w14:paraId="1E956EDC" w14:textId="77777777"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constituyen instrumentos que generan flujo de efectivo para la Compañía, de acuerdo con sus actividades o por la compra de estos instrumentos.</w:t>
      </w:r>
    </w:p>
    <w:p w14:paraId="65CA9D59" w14:textId="77777777" w:rsidR="00B80195" w:rsidRPr="009561C2" w:rsidRDefault="00B80195" w:rsidP="00B80195">
      <w:pPr>
        <w:ind w:left="567"/>
        <w:jc w:val="both"/>
        <w:rPr>
          <w:rFonts w:ascii="Arial" w:hAnsi="Arial" w:cs="Arial"/>
          <w:sz w:val="20"/>
          <w:szCs w:val="20"/>
          <w:lang w:val="es-EC" w:eastAsia="es-EC"/>
        </w:rPr>
      </w:pPr>
    </w:p>
    <w:p w14:paraId="29035EB6" w14:textId="77777777"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inicialmente se registran generalmente al costo de adquisición más cualquier costo imputable a la transacción y que deba ser reconocido como parte del acti</w:t>
      </w:r>
      <w:r>
        <w:rPr>
          <w:rFonts w:ascii="Arial" w:hAnsi="Arial" w:cs="Arial"/>
          <w:sz w:val="20"/>
          <w:szCs w:val="20"/>
          <w:lang w:val="es-EC" w:eastAsia="es-EC"/>
        </w:rPr>
        <w:t xml:space="preserve">vo y se </w:t>
      </w:r>
      <w:r w:rsidRPr="006278CF">
        <w:rPr>
          <w:rFonts w:ascii="Arial" w:hAnsi="Arial" w:cs="Arial"/>
          <w:sz w:val="20"/>
          <w:szCs w:val="20"/>
          <w:lang w:val="es-EC" w:eastAsia="es-EC"/>
        </w:rPr>
        <w:t>registran como activos - valor razonable. La diferencia entre el costo de adquisición y el valor raz</w:t>
      </w:r>
      <w:r>
        <w:rPr>
          <w:rFonts w:ascii="Arial" w:hAnsi="Arial" w:cs="Arial"/>
          <w:sz w:val="20"/>
          <w:szCs w:val="20"/>
          <w:lang w:val="es-EC" w:eastAsia="es-EC"/>
        </w:rPr>
        <w:t>onable se reconoce se reconoce</w:t>
      </w:r>
      <w:r w:rsidRPr="006278CF">
        <w:rPr>
          <w:rFonts w:ascii="Arial" w:hAnsi="Arial" w:cs="Arial"/>
          <w:sz w:val="20"/>
          <w:szCs w:val="20"/>
          <w:lang w:val="es-EC" w:eastAsia="es-EC"/>
        </w:rPr>
        <w:t xml:space="preserve"> como</w:t>
      </w:r>
      <w:r w:rsidRPr="009561C2">
        <w:rPr>
          <w:rFonts w:ascii="Arial" w:hAnsi="Arial" w:cs="Arial"/>
          <w:sz w:val="20"/>
          <w:szCs w:val="20"/>
          <w:lang w:val="es-EC" w:eastAsia="es-EC"/>
        </w:rPr>
        <w:t xml:space="preserve"> ganancia o pérdida únicamente en los casos de que el valor razonable sea de un mercado activo confiable.</w:t>
      </w:r>
    </w:p>
    <w:p w14:paraId="01553DDE" w14:textId="77777777" w:rsidR="00B80195" w:rsidRPr="009561C2" w:rsidRDefault="00B80195" w:rsidP="00B80195">
      <w:pPr>
        <w:spacing w:line="276" w:lineRule="auto"/>
        <w:ind w:left="567"/>
        <w:jc w:val="both"/>
        <w:rPr>
          <w:rFonts w:ascii="Arial" w:hAnsi="Arial" w:cs="Arial"/>
          <w:sz w:val="20"/>
          <w:szCs w:val="20"/>
          <w:lang w:val="es-EC" w:eastAsia="es-EC"/>
        </w:rPr>
      </w:pPr>
    </w:p>
    <w:p w14:paraId="3E3327A5" w14:textId="77777777" w:rsidR="00B80195" w:rsidRPr="009561C2" w:rsidRDefault="00B80195" w:rsidP="00B80195">
      <w:pPr>
        <w:ind w:left="567"/>
        <w:jc w:val="both"/>
        <w:rPr>
          <w:rFonts w:ascii="Arial" w:hAnsi="Arial" w:cs="Arial"/>
          <w:b/>
          <w:bCs/>
          <w:snapToGrid w:val="0"/>
          <w:sz w:val="20"/>
          <w:szCs w:val="20"/>
          <w:lang w:val="es-EC" w:eastAsia="en-US"/>
        </w:rPr>
      </w:pPr>
      <w:r w:rsidRPr="009561C2">
        <w:rPr>
          <w:rFonts w:ascii="Arial" w:hAnsi="Arial" w:cs="Arial"/>
          <w:sz w:val="20"/>
          <w:szCs w:val="20"/>
          <w:lang w:val="es-EC" w:eastAsia="es-EC"/>
        </w:rPr>
        <w:t xml:space="preserve">El principal activo financiero de la Compañía constituye los deudores comerciales generados por las transacciones que realiza en el curso normal de sus operaciones y otras cuentas por cobrar, los cuales constituyen pagos fijos y determinables y no tienen una </w:t>
      </w:r>
      <w:r>
        <w:rPr>
          <w:rFonts w:ascii="Arial" w:hAnsi="Arial" w:cs="Arial"/>
          <w:sz w:val="20"/>
          <w:szCs w:val="20"/>
          <w:lang w:val="es-EC" w:eastAsia="es-EC"/>
        </w:rPr>
        <w:t xml:space="preserve">cotización de mercado bursátil. </w:t>
      </w:r>
    </w:p>
    <w:p w14:paraId="4B84AF0C" w14:textId="77777777" w:rsidR="00B80195" w:rsidRDefault="00B80195" w:rsidP="00B80195">
      <w:pPr>
        <w:tabs>
          <w:tab w:val="left" w:pos="1134"/>
        </w:tabs>
        <w:ind w:left="567"/>
        <w:jc w:val="both"/>
        <w:rPr>
          <w:rFonts w:ascii="Arial" w:hAnsi="Arial" w:cs="Arial"/>
          <w:sz w:val="20"/>
          <w:szCs w:val="20"/>
          <w:lang w:val="es-EC"/>
        </w:rPr>
      </w:pPr>
    </w:p>
    <w:p w14:paraId="3C3C36F3" w14:textId="77777777" w:rsidR="00B80195" w:rsidRPr="00312F98" w:rsidRDefault="00B80195" w:rsidP="00B80195">
      <w:pPr>
        <w:tabs>
          <w:tab w:val="left" w:pos="567"/>
        </w:tabs>
        <w:ind w:left="567"/>
        <w:jc w:val="both"/>
        <w:rPr>
          <w:rFonts w:ascii="Arial" w:hAnsi="Arial" w:cs="Arial"/>
          <w:b/>
          <w:sz w:val="20"/>
          <w:szCs w:val="20"/>
        </w:rPr>
      </w:pPr>
      <w:r w:rsidRPr="00312F98">
        <w:rPr>
          <w:rFonts w:ascii="Arial" w:hAnsi="Arial" w:cs="Arial"/>
          <w:b/>
          <w:sz w:val="20"/>
          <w:szCs w:val="20"/>
        </w:rPr>
        <w:t>Medición posterior</w:t>
      </w:r>
    </w:p>
    <w:p w14:paraId="6D14EF14" w14:textId="77777777" w:rsidR="00B80195" w:rsidRPr="00312F98" w:rsidRDefault="00B80195" w:rsidP="00B80195">
      <w:pPr>
        <w:tabs>
          <w:tab w:val="left" w:pos="567"/>
        </w:tabs>
        <w:ind w:left="567"/>
        <w:jc w:val="both"/>
        <w:rPr>
          <w:rFonts w:ascii="Arial" w:hAnsi="Arial" w:cs="Arial"/>
          <w:sz w:val="20"/>
          <w:szCs w:val="20"/>
        </w:rPr>
      </w:pPr>
    </w:p>
    <w:p w14:paraId="5724B432" w14:textId="77777777" w:rsidR="00B80195" w:rsidRPr="009561C2" w:rsidRDefault="00B80195" w:rsidP="00B80195">
      <w:pPr>
        <w:ind w:left="567"/>
        <w:jc w:val="both"/>
        <w:rPr>
          <w:rFonts w:ascii="Arial" w:hAnsi="Arial" w:cs="Arial"/>
          <w:sz w:val="20"/>
          <w:szCs w:val="20"/>
        </w:rPr>
      </w:pPr>
      <w:r w:rsidRPr="009561C2">
        <w:rPr>
          <w:rFonts w:ascii="Arial" w:hAnsi="Arial" w:cs="Arial"/>
          <w:sz w:val="20"/>
          <w:szCs w:val="20"/>
        </w:rPr>
        <w:t>Los activos financieros posteriormente a su medición inicial se clasifican de acuerdo con su modelo de negocio y a las características contractuales del flujo de efectivo de los activos fina</w:t>
      </w:r>
      <w:r>
        <w:rPr>
          <w:rFonts w:ascii="Arial" w:hAnsi="Arial" w:cs="Arial"/>
          <w:sz w:val="20"/>
          <w:szCs w:val="20"/>
        </w:rPr>
        <w:t xml:space="preserve">ncieros y de acuerdo a la sección 11 de la </w:t>
      </w:r>
      <w:proofErr w:type="spellStart"/>
      <w:r>
        <w:rPr>
          <w:rFonts w:ascii="Arial" w:hAnsi="Arial" w:cs="Arial"/>
          <w:sz w:val="20"/>
          <w:szCs w:val="20"/>
        </w:rPr>
        <w:t>NIIFs</w:t>
      </w:r>
      <w:proofErr w:type="spellEnd"/>
      <w:r>
        <w:rPr>
          <w:rFonts w:ascii="Arial" w:hAnsi="Arial" w:cs="Arial"/>
          <w:sz w:val="20"/>
          <w:szCs w:val="20"/>
        </w:rPr>
        <w:t xml:space="preserve"> PYMES</w:t>
      </w:r>
      <w:r w:rsidRPr="009561C2">
        <w:rPr>
          <w:rFonts w:ascii="Arial" w:hAnsi="Arial" w:cs="Arial"/>
          <w:sz w:val="20"/>
          <w:szCs w:val="20"/>
        </w:rPr>
        <w:t xml:space="preserve"> y los clasifica en: (i) costo amortizado</w:t>
      </w:r>
      <w:r>
        <w:rPr>
          <w:rFonts w:ascii="Arial" w:hAnsi="Arial" w:cs="Arial"/>
          <w:sz w:val="20"/>
          <w:szCs w:val="20"/>
        </w:rPr>
        <w:t>; y, (</w:t>
      </w:r>
      <w:proofErr w:type="spellStart"/>
      <w:r>
        <w:rPr>
          <w:rFonts w:ascii="Arial" w:hAnsi="Arial" w:cs="Arial"/>
          <w:sz w:val="20"/>
          <w:szCs w:val="20"/>
        </w:rPr>
        <w:t>ii</w:t>
      </w:r>
      <w:proofErr w:type="spellEnd"/>
      <w:r w:rsidRPr="009561C2">
        <w:rPr>
          <w:rFonts w:ascii="Arial" w:hAnsi="Arial" w:cs="Arial"/>
          <w:sz w:val="20"/>
          <w:szCs w:val="20"/>
        </w:rPr>
        <w:t>) valor razonable con cambios en pérdidas y ganancias.</w:t>
      </w:r>
    </w:p>
    <w:p w14:paraId="3621CB97" w14:textId="77777777" w:rsidR="00B80195" w:rsidRDefault="00B80195" w:rsidP="00B80195">
      <w:pPr>
        <w:ind w:left="567"/>
        <w:jc w:val="both"/>
        <w:rPr>
          <w:rFonts w:ascii="Arial" w:hAnsi="Arial" w:cs="Arial"/>
          <w:sz w:val="20"/>
          <w:szCs w:val="20"/>
        </w:rPr>
      </w:pPr>
    </w:p>
    <w:p w14:paraId="498C2923" w14:textId="77777777" w:rsidR="00B80195" w:rsidRDefault="00B80195" w:rsidP="00B80195">
      <w:pPr>
        <w:ind w:left="567"/>
        <w:jc w:val="both"/>
        <w:rPr>
          <w:rFonts w:ascii="Arial" w:hAnsi="Arial" w:cs="Arial"/>
          <w:sz w:val="20"/>
          <w:szCs w:val="20"/>
        </w:rPr>
      </w:pPr>
      <w:r w:rsidRPr="009561C2">
        <w:rPr>
          <w:rFonts w:ascii="Arial" w:hAnsi="Arial" w:cs="Arial"/>
          <w:sz w:val="20"/>
          <w:szCs w:val="20"/>
        </w:rPr>
        <w:t>Los activos financieros se registran como se describe a continuación:</w:t>
      </w:r>
    </w:p>
    <w:p w14:paraId="2112EFEB" w14:textId="77777777" w:rsidR="00B80195" w:rsidRDefault="00B80195" w:rsidP="00B80195">
      <w:pPr>
        <w:tabs>
          <w:tab w:val="left" w:pos="567"/>
          <w:tab w:val="left" w:pos="1701"/>
        </w:tabs>
        <w:jc w:val="both"/>
        <w:rPr>
          <w:rFonts w:ascii="Arial" w:hAnsi="Arial" w:cs="Arial"/>
          <w:sz w:val="20"/>
          <w:szCs w:val="20"/>
          <w:lang w:eastAsia="es-EC"/>
        </w:rPr>
      </w:pPr>
    </w:p>
    <w:p w14:paraId="5FD22F44" w14:textId="77777777"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Costo amortizado</w:t>
      </w:r>
    </w:p>
    <w:p w14:paraId="1D6C1A8C" w14:textId="77777777" w:rsidR="00B80195" w:rsidRPr="0061256C" w:rsidRDefault="00B80195" w:rsidP="00B80195">
      <w:pPr>
        <w:autoSpaceDE w:val="0"/>
        <w:autoSpaceDN w:val="0"/>
        <w:adjustRightInd w:val="0"/>
        <w:ind w:left="1134"/>
        <w:rPr>
          <w:rFonts w:ascii="Arial" w:hAnsi="Arial" w:cs="Arial"/>
          <w:b/>
          <w:bCs/>
          <w:sz w:val="20"/>
          <w:szCs w:val="20"/>
          <w:lang w:val="es-EC" w:eastAsia="es-EC"/>
        </w:rPr>
      </w:pPr>
    </w:p>
    <w:p w14:paraId="57433457" w14:textId="77777777"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 deudores comerciales y las otras cuentas por cobrar no comerciales que cumplen con las características de un instrumento financiero se registran a costo amortizado; cuando sus plazos son mayores a los 90 días y no incluyen ninguna tasa de interés o cuando existen tasas de interés efectiva.</w:t>
      </w:r>
    </w:p>
    <w:p w14:paraId="483BD262" w14:textId="77777777" w:rsidR="00B80195" w:rsidRPr="0061256C" w:rsidRDefault="00B80195" w:rsidP="00B80195">
      <w:pPr>
        <w:autoSpaceDE w:val="0"/>
        <w:autoSpaceDN w:val="0"/>
        <w:adjustRightInd w:val="0"/>
        <w:ind w:left="1134"/>
        <w:rPr>
          <w:rFonts w:ascii="Arial" w:hAnsi="Arial" w:cs="Arial"/>
          <w:bCs/>
          <w:sz w:val="20"/>
          <w:szCs w:val="20"/>
          <w:lang w:val="es-EC" w:eastAsia="es-EC"/>
        </w:rPr>
      </w:pPr>
      <w:r w:rsidRPr="0061256C">
        <w:rPr>
          <w:rFonts w:ascii="Arial" w:hAnsi="Arial" w:cs="Arial"/>
          <w:bCs/>
          <w:sz w:val="20"/>
          <w:szCs w:val="20"/>
          <w:lang w:val="es-EC" w:eastAsia="es-EC"/>
        </w:rPr>
        <w:t>Los saldos de las cuentas por cobrar cuyo plazo contractual de cobro hasta de un año menos se clasifican como activos no corrientes.</w:t>
      </w:r>
    </w:p>
    <w:p w14:paraId="3A02DF34" w14:textId="77777777" w:rsidR="00B80195" w:rsidRPr="0061256C" w:rsidRDefault="00B80195" w:rsidP="00B80195">
      <w:pPr>
        <w:autoSpaceDE w:val="0"/>
        <w:autoSpaceDN w:val="0"/>
        <w:adjustRightInd w:val="0"/>
        <w:ind w:left="1134"/>
        <w:rPr>
          <w:rFonts w:ascii="Arial" w:hAnsi="Arial" w:cs="Arial"/>
          <w:bCs/>
          <w:sz w:val="20"/>
          <w:szCs w:val="20"/>
          <w:lang w:val="es-EC" w:eastAsia="es-EC"/>
        </w:rPr>
      </w:pPr>
    </w:p>
    <w:p w14:paraId="1B39B36C" w14:textId="77777777" w:rsidR="00B80195"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 xml:space="preserve">El cálculo del interés implícito se efectúa en base a la tasa de interés de los pasivos por financiamiento de la compañía o el publicado por el Banco Central del Ecuador en sus boletines oficiales para préstamos otorgados por el sistema financiero </w:t>
      </w:r>
      <w:proofErr w:type="gramStart"/>
      <w:r w:rsidRPr="0061256C">
        <w:rPr>
          <w:rFonts w:ascii="Arial" w:hAnsi="Arial" w:cs="Arial"/>
          <w:bCs/>
          <w:sz w:val="20"/>
          <w:szCs w:val="20"/>
          <w:lang w:val="es-EC" w:eastAsia="es-EC"/>
        </w:rPr>
        <w:t>Ecuatoriano</w:t>
      </w:r>
      <w:proofErr w:type="gramEnd"/>
      <w:r w:rsidRPr="0061256C">
        <w:rPr>
          <w:rFonts w:ascii="Arial" w:hAnsi="Arial" w:cs="Arial"/>
          <w:bCs/>
          <w:sz w:val="20"/>
          <w:szCs w:val="20"/>
          <w:lang w:val="es-EC" w:eastAsia="es-EC"/>
        </w:rPr>
        <w:t>.</w:t>
      </w:r>
    </w:p>
    <w:p w14:paraId="0FA4EE6F" w14:textId="77777777" w:rsidR="00D22974" w:rsidRPr="0061256C" w:rsidRDefault="00D22974" w:rsidP="00B80195">
      <w:pPr>
        <w:autoSpaceDE w:val="0"/>
        <w:autoSpaceDN w:val="0"/>
        <w:adjustRightInd w:val="0"/>
        <w:ind w:left="1134"/>
        <w:jc w:val="both"/>
        <w:rPr>
          <w:rFonts w:ascii="Arial" w:hAnsi="Arial" w:cs="Arial"/>
          <w:bCs/>
          <w:sz w:val="20"/>
          <w:szCs w:val="20"/>
          <w:lang w:val="es-EC" w:eastAsia="es-EC"/>
        </w:rPr>
      </w:pPr>
    </w:p>
    <w:p w14:paraId="455BD4A4" w14:textId="77777777"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 xml:space="preserve">Valor razonable con cambios </w:t>
      </w:r>
      <w:proofErr w:type="gramStart"/>
      <w:r w:rsidRPr="0061256C">
        <w:rPr>
          <w:rFonts w:ascii="Arial" w:hAnsi="Arial" w:cs="Arial"/>
          <w:b/>
          <w:bCs/>
          <w:sz w:val="20"/>
          <w:szCs w:val="20"/>
          <w:lang w:val="es-EC" w:eastAsia="es-EC"/>
        </w:rPr>
        <w:t>en  Otros</w:t>
      </w:r>
      <w:proofErr w:type="gramEnd"/>
      <w:r w:rsidRPr="0061256C">
        <w:rPr>
          <w:rFonts w:ascii="Arial" w:hAnsi="Arial" w:cs="Arial"/>
          <w:b/>
          <w:bCs/>
          <w:sz w:val="20"/>
          <w:szCs w:val="20"/>
          <w:lang w:val="es-EC" w:eastAsia="es-EC"/>
        </w:rPr>
        <w:t xml:space="preserve"> Resultados Integrales “ORI”</w:t>
      </w:r>
    </w:p>
    <w:p w14:paraId="6EF979E2" w14:textId="77777777" w:rsidR="00B80195" w:rsidRPr="0061256C" w:rsidRDefault="00B80195" w:rsidP="00B80195">
      <w:pPr>
        <w:autoSpaceDE w:val="0"/>
        <w:autoSpaceDN w:val="0"/>
        <w:adjustRightInd w:val="0"/>
        <w:ind w:left="1134"/>
        <w:rPr>
          <w:rFonts w:ascii="Arial" w:hAnsi="Arial" w:cs="Arial"/>
          <w:b/>
          <w:bCs/>
          <w:sz w:val="20"/>
          <w:szCs w:val="20"/>
          <w:lang w:val="es-EC" w:eastAsia="es-EC"/>
        </w:rPr>
      </w:pPr>
    </w:p>
    <w:p w14:paraId="73C5B8ED" w14:textId="77777777" w:rsidR="00B80195" w:rsidRPr="0061256C" w:rsidRDefault="00B80195" w:rsidP="00B80195">
      <w:pPr>
        <w:tabs>
          <w:tab w:val="left" w:pos="1134"/>
        </w:tabs>
        <w:ind w:left="1134"/>
        <w:jc w:val="both"/>
        <w:rPr>
          <w:rFonts w:ascii="Arial" w:hAnsi="Arial" w:cs="Arial"/>
          <w:sz w:val="20"/>
          <w:szCs w:val="20"/>
        </w:rPr>
      </w:pPr>
      <w:r w:rsidRPr="0061256C">
        <w:rPr>
          <w:rFonts w:ascii="Arial" w:hAnsi="Arial" w:cs="Arial"/>
          <w:bCs/>
          <w:sz w:val="20"/>
          <w:szCs w:val="20"/>
          <w:lang w:val="es-EC" w:eastAsia="es-EC"/>
        </w:rPr>
        <w:t xml:space="preserve">Los activos financieros con cambios en el “ORI” principalmente constituyen instrumentos financieros </w:t>
      </w:r>
      <w:r w:rsidR="00DC1CD8" w:rsidRPr="0061256C">
        <w:rPr>
          <w:rFonts w:ascii="Arial" w:hAnsi="Arial" w:cs="Arial"/>
          <w:bCs/>
          <w:sz w:val="20"/>
          <w:szCs w:val="20"/>
          <w:lang w:val="es-EC" w:eastAsia="es-EC"/>
        </w:rPr>
        <w:t>comerciales y</w:t>
      </w:r>
      <w:r w:rsidRPr="0061256C">
        <w:rPr>
          <w:rFonts w:ascii="Arial" w:hAnsi="Arial" w:cs="Arial"/>
          <w:bCs/>
          <w:sz w:val="20"/>
          <w:szCs w:val="20"/>
          <w:lang w:val="es-EC" w:eastAsia="es-EC"/>
        </w:rPr>
        <w:t xml:space="preserve"> de patrimonio cuya intención y </w:t>
      </w:r>
      <w:r w:rsidR="00DC1CD8" w:rsidRPr="0061256C">
        <w:rPr>
          <w:rFonts w:ascii="Arial" w:hAnsi="Arial" w:cs="Arial"/>
          <w:bCs/>
          <w:sz w:val="20"/>
          <w:szCs w:val="20"/>
          <w:lang w:val="es-EC" w:eastAsia="es-EC"/>
        </w:rPr>
        <w:t>capacidad financiera</w:t>
      </w:r>
      <w:r w:rsidRPr="0061256C">
        <w:rPr>
          <w:rFonts w:ascii="Arial" w:hAnsi="Arial" w:cs="Arial"/>
          <w:bCs/>
          <w:sz w:val="20"/>
          <w:szCs w:val="20"/>
          <w:lang w:val="es-EC" w:eastAsia="es-EC"/>
        </w:rPr>
        <w:t xml:space="preserve"> es la de mantenerlos hasta que finalicen su vencimiento y </w:t>
      </w:r>
      <w:r w:rsidRPr="0061256C">
        <w:rPr>
          <w:rFonts w:ascii="Arial" w:hAnsi="Arial" w:cs="Arial"/>
          <w:sz w:val="20"/>
          <w:szCs w:val="20"/>
        </w:rPr>
        <w:t>sus flujos de efectivo corresponden a la recuperación del capital y sus intereses. Estos instrumentos se ajustan al valor razonable y su efecto se reconoce en el patrimonio como parte del “ORI” hasta su realización o venta, excepto cuando existe un deterioro permanente.</w:t>
      </w:r>
      <w:r w:rsidRPr="0061256C">
        <w:rPr>
          <w:rFonts w:ascii="Arial" w:hAnsi="Arial" w:cs="Arial"/>
          <w:bCs/>
          <w:sz w:val="20"/>
          <w:szCs w:val="20"/>
          <w:lang w:val="es-EC" w:eastAsia="es-EC"/>
        </w:rPr>
        <w:t xml:space="preserve">  </w:t>
      </w:r>
    </w:p>
    <w:p w14:paraId="0354569C" w14:textId="77777777" w:rsidR="00B80195" w:rsidRPr="0061256C" w:rsidRDefault="00B80195" w:rsidP="00B80195">
      <w:pPr>
        <w:autoSpaceDE w:val="0"/>
        <w:autoSpaceDN w:val="0"/>
        <w:adjustRightInd w:val="0"/>
        <w:ind w:left="1134"/>
        <w:rPr>
          <w:rFonts w:ascii="Arial" w:hAnsi="Arial" w:cs="Arial"/>
          <w:b/>
          <w:bCs/>
          <w:sz w:val="20"/>
          <w:szCs w:val="20"/>
          <w:lang w:val="es-EC" w:eastAsia="es-EC"/>
        </w:rPr>
      </w:pPr>
    </w:p>
    <w:p w14:paraId="558B518C" w14:textId="77777777"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Valor razonable con cambios en los resultados</w:t>
      </w:r>
    </w:p>
    <w:p w14:paraId="5CC44E83" w14:textId="77777777" w:rsidR="00B80195" w:rsidRPr="0061256C" w:rsidRDefault="00B80195" w:rsidP="00B80195">
      <w:pPr>
        <w:autoSpaceDE w:val="0"/>
        <w:autoSpaceDN w:val="0"/>
        <w:adjustRightInd w:val="0"/>
        <w:ind w:left="1134"/>
        <w:rPr>
          <w:rFonts w:ascii="Arial" w:hAnsi="Arial" w:cs="Arial"/>
          <w:bCs/>
          <w:sz w:val="20"/>
          <w:szCs w:val="20"/>
          <w:u w:val="single"/>
          <w:lang w:val="es-EC" w:eastAsia="es-EC"/>
        </w:rPr>
      </w:pPr>
    </w:p>
    <w:p w14:paraId="7204E296" w14:textId="77777777"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a valor razonable constituyen títulos y valores o cuentas por cobrar propis en las cuales existe la intención de negociarlos o recuperar liquidez en plazos cortos; estos activos financieros se actualizan a valores razonables del periodo en el cual se origina la variación.</w:t>
      </w:r>
    </w:p>
    <w:p w14:paraId="7649EB46" w14:textId="77777777"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lastRenderedPageBreak/>
        <w:t>Los intereses y descuentos ganados de los activos financieros se registran como ingreso financiero en el estado de resultados tal como se explica en la política de reconocimiento de ingresos.</w:t>
      </w:r>
    </w:p>
    <w:p w14:paraId="0CD3E10E" w14:textId="77777777" w:rsidR="00B80195" w:rsidRPr="0061256C" w:rsidRDefault="00B80195" w:rsidP="00B80195">
      <w:pPr>
        <w:tabs>
          <w:tab w:val="left" w:pos="567"/>
          <w:tab w:val="left" w:pos="1701"/>
        </w:tabs>
        <w:ind w:left="1134"/>
        <w:jc w:val="both"/>
        <w:rPr>
          <w:rFonts w:ascii="Arial" w:hAnsi="Arial" w:cs="Arial"/>
          <w:sz w:val="20"/>
          <w:szCs w:val="20"/>
          <w:lang w:eastAsia="es-EC"/>
        </w:rPr>
      </w:pPr>
    </w:p>
    <w:p w14:paraId="376D9D0B" w14:textId="77777777" w:rsidR="00B80195" w:rsidRPr="0061256C" w:rsidRDefault="00B80195" w:rsidP="00B80195">
      <w:pPr>
        <w:numPr>
          <w:ilvl w:val="0"/>
          <w:numId w:val="1"/>
        </w:numPr>
        <w:tabs>
          <w:tab w:val="left" w:pos="1134"/>
        </w:tabs>
        <w:ind w:left="1134" w:hanging="567"/>
        <w:jc w:val="both"/>
        <w:rPr>
          <w:rFonts w:ascii="Arial" w:hAnsi="Arial" w:cs="Arial"/>
          <w:sz w:val="20"/>
          <w:szCs w:val="20"/>
          <w:lang w:eastAsia="es-EC"/>
        </w:rPr>
      </w:pPr>
      <w:r w:rsidRPr="0061256C">
        <w:rPr>
          <w:rFonts w:ascii="Arial" w:hAnsi="Arial" w:cs="Arial"/>
          <w:b/>
          <w:sz w:val="20"/>
          <w:szCs w:val="20"/>
        </w:rPr>
        <w:t>Cuentas por cobrar y préstamos</w:t>
      </w:r>
    </w:p>
    <w:p w14:paraId="032E895D" w14:textId="77777777" w:rsidR="00B80195" w:rsidRPr="0061256C" w:rsidRDefault="00B80195" w:rsidP="00B80195">
      <w:pPr>
        <w:tabs>
          <w:tab w:val="left" w:pos="1134"/>
        </w:tabs>
        <w:ind w:left="1134" w:hanging="567"/>
        <w:jc w:val="both"/>
        <w:rPr>
          <w:rFonts w:ascii="Arial" w:hAnsi="Arial" w:cs="Arial"/>
          <w:sz w:val="20"/>
          <w:szCs w:val="20"/>
          <w:lang w:eastAsia="es-EC"/>
        </w:rPr>
      </w:pPr>
    </w:p>
    <w:p w14:paraId="2B586A83" w14:textId="77777777" w:rsidR="00B80195" w:rsidRPr="0050759F" w:rsidRDefault="00B80195" w:rsidP="00B80195">
      <w:pPr>
        <w:tabs>
          <w:tab w:val="left" w:pos="1134"/>
        </w:tabs>
        <w:ind w:left="1134" w:hanging="567"/>
        <w:jc w:val="both"/>
        <w:rPr>
          <w:rFonts w:ascii="Arial" w:hAnsi="Arial" w:cs="Arial"/>
          <w:sz w:val="20"/>
          <w:szCs w:val="20"/>
        </w:rPr>
      </w:pPr>
      <w:r w:rsidRPr="0061256C">
        <w:rPr>
          <w:rFonts w:ascii="Arial" w:hAnsi="Arial" w:cs="Arial"/>
          <w:sz w:val="20"/>
          <w:szCs w:val="20"/>
          <w:lang w:eastAsia="es-EC"/>
        </w:rPr>
        <w:tab/>
        <w:t xml:space="preserve">Los rubros que mantiene la Compañía corresponden a los deudores comerciales generados por las transacciones comerciales que realiza en el curso normal de sus operaciones y otras cuentas por cobrar, los cuales constituyen pagos fijos y determinables y que no tienen una cotización de mercado bursátil. </w:t>
      </w:r>
      <w:r w:rsidRPr="0061256C">
        <w:rPr>
          <w:rFonts w:ascii="Arial" w:hAnsi="Arial" w:cs="Arial"/>
          <w:sz w:val="20"/>
          <w:szCs w:val="20"/>
          <w:lang w:val="es-EC" w:eastAsia="es-EC"/>
        </w:rPr>
        <w:t>Las transacciones cuyo plazo contractual de cobro hasta de un año o menos se clasi</w:t>
      </w:r>
      <w:r w:rsidRPr="0050759F">
        <w:rPr>
          <w:rFonts w:ascii="Arial" w:hAnsi="Arial" w:cs="Arial"/>
          <w:sz w:val="20"/>
          <w:szCs w:val="20"/>
          <w:lang w:val="es-EC" w:eastAsia="es-EC"/>
        </w:rPr>
        <w:t xml:space="preserve">fican como activos corrientes y aquellas cuyos plazos son mayores a un año se clasifican como activos no corrientes. </w:t>
      </w:r>
      <w:r w:rsidRPr="0050759F">
        <w:rPr>
          <w:rFonts w:ascii="Arial" w:hAnsi="Arial" w:cs="Arial"/>
          <w:sz w:val="20"/>
          <w:szCs w:val="20"/>
          <w:lang w:eastAsia="es-EC"/>
        </w:rPr>
        <w:t xml:space="preserve"> </w:t>
      </w:r>
      <w:r w:rsidRPr="0050759F">
        <w:rPr>
          <w:rFonts w:ascii="Arial" w:hAnsi="Arial" w:cs="Arial"/>
          <w:sz w:val="20"/>
          <w:szCs w:val="20"/>
          <w:lang w:val="es-EC" w:eastAsia="es-EC"/>
        </w:rPr>
        <w:t>Las cuentas por cobrar comerciales se reconocen a su valor nominal en aquellas cuyo plazo contractual es de cobro no excede los 90 días y aquellas que exceden dicho plazo</w:t>
      </w:r>
      <w:r w:rsidRPr="0050759F">
        <w:rPr>
          <w:rFonts w:ascii="Arial" w:hAnsi="Arial" w:cs="Arial"/>
          <w:sz w:val="20"/>
          <w:szCs w:val="20"/>
        </w:rPr>
        <w:t xml:space="preserve"> que no generan ninguna tasa de interés o cuando existen tasas de interés fijas, </w:t>
      </w:r>
      <w:r w:rsidRPr="0050759F">
        <w:rPr>
          <w:rFonts w:ascii="Arial" w:hAnsi="Arial" w:cs="Arial"/>
          <w:sz w:val="20"/>
          <w:szCs w:val="20"/>
          <w:lang w:val="es-EC" w:eastAsia="es-EC"/>
        </w:rPr>
        <w:t xml:space="preserve">se contabilizan </w:t>
      </w:r>
      <w:r w:rsidRPr="0050759F">
        <w:rPr>
          <w:rFonts w:ascii="Arial" w:hAnsi="Arial" w:cs="Arial"/>
          <w:sz w:val="20"/>
          <w:szCs w:val="20"/>
        </w:rPr>
        <w:t>a su valor neto del interés implícito (costo amortizado) para lo cual se utiliza el método de la tasa de interés efectiva.</w:t>
      </w:r>
    </w:p>
    <w:p w14:paraId="79FAE022" w14:textId="77777777" w:rsidR="00B80195" w:rsidRPr="0050759F" w:rsidRDefault="00B80195" w:rsidP="00B80195">
      <w:pPr>
        <w:tabs>
          <w:tab w:val="left" w:pos="1134"/>
        </w:tabs>
        <w:ind w:left="1134" w:hanging="567"/>
        <w:jc w:val="both"/>
        <w:rPr>
          <w:rFonts w:ascii="Arial" w:hAnsi="Arial" w:cs="Arial"/>
          <w:sz w:val="20"/>
          <w:szCs w:val="20"/>
        </w:rPr>
      </w:pPr>
    </w:p>
    <w:p w14:paraId="28756034" w14:textId="77777777" w:rsidR="00B80195" w:rsidRDefault="00B80195" w:rsidP="00B80195">
      <w:pPr>
        <w:tabs>
          <w:tab w:val="left" w:pos="1134"/>
        </w:tabs>
        <w:ind w:left="1134" w:hanging="567"/>
        <w:jc w:val="both"/>
        <w:rPr>
          <w:rFonts w:ascii="Arial" w:hAnsi="Arial" w:cs="Arial"/>
          <w:sz w:val="20"/>
          <w:szCs w:val="20"/>
          <w:lang w:eastAsia="es-EC"/>
        </w:rPr>
      </w:pPr>
      <w:r>
        <w:rPr>
          <w:rFonts w:ascii="Arial" w:hAnsi="Arial" w:cs="Arial"/>
          <w:sz w:val="20"/>
          <w:szCs w:val="20"/>
          <w:lang w:eastAsia="es-EC"/>
        </w:rPr>
        <w:tab/>
      </w:r>
      <w:r w:rsidRPr="0050759F">
        <w:rPr>
          <w:rFonts w:ascii="Arial" w:hAnsi="Arial" w:cs="Arial"/>
          <w:sz w:val="20"/>
          <w:szCs w:val="20"/>
          <w:lang w:eastAsia="es-EC"/>
        </w:rPr>
        <w:t>Las otras cuentas por cobrar no comerciales y que cumplen con las características de instrumento financiero se registran al costo cuando sus plazos son menos de 90 días.</w:t>
      </w:r>
    </w:p>
    <w:p w14:paraId="3897969C" w14:textId="77777777" w:rsidR="00E47673" w:rsidRDefault="00E47673" w:rsidP="00B80195">
      <w:pPr>
        <w:tabs>
          <w:tab w:val="left" w:pos="1134"/>
        </w:tabs>
        <w:ind w:left="1134" w:hanging="567"/>
        <w:jc w:val="both"/>
        <w:rPr>
          <w:rFonts w:ascii="Arial" w:hAnsi="Arial" w:cs="Arial"/>
          <w:b/>
          <w:sz w:val="20"/>
          <w:szCs w:val="20"/>
          <w:u w:val="single"/>
          <w:lang w:eastAsia="es-EC"/>
        </w:rPr>
      </w:pPr>
    </w:p>
    <w:p w14:paraId="2A79C1BB" w14:textId="77777777" w:rsidR="00B80195" w:rsidRPr="00C452CF" w:rsidRDefault="00B80195" w:rsidP="00B80195">
      <w:pPr>
        <w:tabs>
          <w:tab w:val="left" w:pos="1134"/>
        </w:tabs>
        <w:ind w:left="1134" w:hanging="567"/>
        <w:jc w:val="both"/>
        <w:rPr>
          <w:rFonts w:ascii="Arial" w:hAnsi="Arial" w:cs="Arial"/>
          <w:b/>
          <w:sz w:val="20"/>
          <w:szCs w:val="20"/>
          <w:u w:val="single"/>
          <w:lang w:eastAsia="es-EC"/>
        </w:rPr>
      </w:pPr>
      <w:r w:rsidRPr="00C452CF">
        <w:rPr>
          <w:rFonts w:ascii="Arial" w:hAnsi="Arial" w:cs="Arial"/>
          <w:b/>
          <w:sz w:val="20"/>
          <w:szCs w:val="20"/>
          <w:u w:val="single"/>
          <w:lang w:eastAsia="es-EC"/>
        </w:rPr>
        <w:t>Otra política</w:t>
      </w:r>
    </w:p>
    <w:p w14:paraId="1C09DB5B" w14:textId="77777777" w:rsidR="00B80195" w:rsidRDefault="00B80195" w:rsidP="00B80195">
      <w:pPr>
        <w:jc w:val="both"/>
        <w:rPr>
          <w:rFonts w:ascii="Arial" w:hAnsi="Arial" w:cs="Arial"/>
          <w:b/>
          <w:color w:val="0B3D91"/>
          <w:spacing w:val="-2"/>
          <w:sz w:val="20"/>
          <w:szCs w:val="20"/>
        </w:rPr>
      </w:pPr>
    </w:p>
    <w:p w14:paraId="41310348" w14:textId="77777777" w:rsidR="00B80195" w:rsidRPr="00F82A8D" w:rsidRDefault="00B80195" w:rsidP="00161D0E">
      <w:pPr>
        <w:numPr>
          <w:ilvl w:val="0"/>
          <w:numId w:val="23"/>
        </w:numPr>
        <w:tabs>
          <w:tab w:val="left" w:pos="1134"/>
        </w:tabs>
        <w:jc w:val="both"/>
        <w:rPr>
          <w:rFonts w:ascii="Arial" w:hAnsi="Arial" w:cs="Arial"/>
          <w:b/>
          <w:sz w:val="20"/>
          <w:szCs w:val="20"/>
          <w:lang w:eastAsia="es-EC"/>
        </w:rPr>
      </w:pPr>
      <w:r w:rsidRPr="00F82A8D">
        <w:rPr>
          <w:rFonts w:ascii="Arial" w:hAnsi="Arial" w:cs="Arial"/>
          <w:b/>
          <w:sz w:val="20"/>
          <w:szCs w:val="20"/>
          <w:lang w:eastAsia="es-EC"/>
        </w:rPr>
        <w:t xml:space="preserve">Deterioro de activos financieros </w:t>
      </w:r>
    </w:p>
    <w:p w14:paraId="1057B71A" w14:textId="77777777" w:rsidR="00B80195" w:rsidRPr="0050759F" w:rsidRDefault="00B80195" w:rsidP="00B80195">
      <w:pPr>
        <w:ind w:left="851"/>
        <w:jc w:val="both"/>
        <w:rPr>
          <w:rFonts w:ascii="Arial" w:hAnsi="Arial" w:cs="Arial"/>
          <w:sz w:val="20"/>
          <w:szCs w:val="20"/>
          <w:lang w:eastAsia="es-EC"/>
        </w:rPr>
      </w:pPr>
    </w:p>
    <w:p w14:paraId="10182109" w14:textId="77777777"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La Compañía al cierre anual de sus estados financieros efectúa una evaluación si existe en los activos financieros un deterioro en su valor contable y para lo cual efectúa lo siguiente:</w:t>
      </w:r>
    </w:p>
    <w:p w14:paraId="08B81FC7" w14:textId="77777777" w:rsidR="00411944" w:rsidRDefault="00411944" w:rsidP="00B80195">
      <w:pPr>
        <w:rPr>
          <w:rFonts w:ascii="Arial" w:hAnsi="Arial" w:cs="Arial"/>
          <w:sz w:val="20"/>
          <w:szCs w:val="20"/>
        </w:rPr>
      </w:pPr>
    </w:p>
    <w:p w14:paraId="1AA7D00A" w14:textId="77777777"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tab/>
      </w:r>
      <w:r w:rsidRPr="0050759F">
        <w:rPr>
          <w:rFonts w:ascii="Arial" w:hAnsi="Arial" w:cs="Arial"/>
          <w:b/>
          <w:sz w:val="20"/>
          <w:szCs w:val="20"/>
        </w:rPr>
        <w:t>Activos financieros no contabilizados al costo amortizado</w:t>
      </w:r>
    </w:p>
    <w:p w14:paraId="32E4D2B2" w14:textId="77777777" w:rsidR="00B80195" w:rsidRPr="0050759F" w:rsidRDefault="00B80195" w:rsidP="00B80195">
      <w:pPr>
        <w:pStyle w:val="Prrafodelista"/>
        <w:spacing w:before="0" w:after="0"/>
        <w:ind w:left="851"/>
        <w:rPr>
          <w:rFonts w:ascii="Arial" w:hAnsi="Arial" w:cs="Arial"/>
          <w:sz w:val="20"/>
          <w:szCs w:val="20"/>
        </w:rPr>
      </w:pPr>
    </w:p>
    <w:p w14:paraId="0F73BFF2" w14:textId="77777777"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 xml:space="preserve">En los activos financieros no contabilizados al costo amortizado, el deterioro se evalúa si existe alguna evidencia objetiva y competente si un activo o grupos de activos se encuentran deteriorados como resultado de un evento o eventos que afectan al valor registrado inicialmente y siempre y cuando dicho evento o eventos tengan un impacto en los flujos de efectivo futuros. Entre </w:t>
      </w:r>
      <w:r w:rsidR="00DC1CD8" w:rsidRPr="0050759F">
        <w:rPr>
          <w:rFonts w:ascii="Arial" w:hAnsi="Arial" w:cs="Arial"/>
          <w:sz w:val="20"/>
          <w:szCs w:val="20"/>
        </w:rPr>
        <w:t>los</w:t>
      </w:r>
      <w:r w:rsidRPr="0050759F">
        <w:rPr>
          <w:rFonts w:ascii="Arial" w:hAnsi="Arial" w:cs="Arial"/>
          <w:sz w:val="20"/>
          <w:szCs w:val="20"/>
        </w:rPr>
        <w:t xml:space="preserve"> principales aspectos que se consideran para determinar el deterioro están:</w:t>
      </w:r>
    </w:p>
    <w:p w14:paraId="6697731D" w14:textId="77777777" w:rsidR="00B80195" w:rsidRPr="0050759F" w:rsidRDefault="00B80195" w:rsidP="00B80195">
      <w:pPr>
        <w:ind w:left="851"/>
        <w:jc w:val="both"/>
        <w:rPr>
          <w:rFonts w:ascii="Arial" w:hAnsi="Arial" w:cs="Arial"/>
          <w:sz w:val="20"/>
          <w:szCs w:val="20"/>
        </w:rPr>
      </w:pPr>
    </w:p>
    <w:p w14:paraId="5B281552" w14:textId="77777777"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las dificultades financieras de los deudores; </w:t>
      </w:r>
    </w:p>
    <w:p w14:paraId="2BC6D94F" w14:textId="77777777"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el incumplimiento de pagos en las deudas e intereses; </w:t>
      </w:r>
    </w:p>
    <w:p w14:paraId="068B8278" w14:textId="77777777"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la probabilidad de que existan quiebras, reestructuraciones de deudas.</w:t>
      </w:r>
    </w:p>
    <w:p w14:paraId="3118F61C" w14:textId="77777777" w:rsidR="00B80195" w:rsidRPr="0050759F" w:rsidRDefault="00B80195" w:rsidP="00B80195">
      <w:pPr>
        <w:jc w:val="both"/>
        <w:rPr>
          <w:rFonts w:ascii="Arial" w:hAnsi="Arial" w:cs="Arial"/>
          <w:sz w:val="20"/>
          <w:szCs w:val="20"/>
        </w:rPr>
      </w:pPr>
    </w:p>
    <w:p w14:paraId="25A652B6" w14:textId="2B42B117"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 xml:space="preserve">En el caso de que exista evidencia objetiva y competente de que el riesgo de cobro existe, la disminución en el valor razonable se contabiliza en algunos activos disminuyendo el valor del registro inicial y en </w:t>
      </w:r>
      <w:r w:rsidR="009120E7" w:rsidRPr="0050759F">
        <w:rPr>
          <w:rFonts w:ascii="Arial" w:hAnsi="Arial" w:cs="Arial"/>
          <w:sz w:val="20"/>
          <w:szCs w:val="20"/>
        </w:rPr>
        <w:t>otro</w:t>
      </w:r>
      <w:r w:rsidR="009120E7">
        <w:rPr>
          <w:rFonts w:ascii="Arial" w:hAnsi="Arial" w:cs="Arial"/>
          <w:sz w:val="20"/>
          <w:szCs w:val="20"/>
        </w:rPr>
        <w:t>s</w:t>
      </w:r>
      <w:r w:rsidR="009120E7" w:rsidRPr="0050759F">
        <w:rPr>
          <w:rFonts w:ascii="Arial" w:hAnsi="Arial" w:cs="Arial"/>
          <w:sz w:val="20"/>
          <w:szCs w:val="20"/>
        </w:rPr>
        <w:t xml:space="preserve"> caso</w:t>
      </w:r>
      <w:r w:rsidR="009120E7">
        <w:rPr>
          <w:rFonts w:ascii="Arial" w:hAnsi="Arial" w:cs="Arial"/>
          <w:sz w:val="20"/>
          <w:szCs w:val="20"/>
        </w:rPr>
        <w:t>s</w:t>
      </w:r>
      <w:r w:rsidRPr="0050759F">
        <w:rPr>
          <w:rFonts w:ascii="Arial" w:hAnsi="Arial" w:cs="Arial"/>
          <w:sz w:val="20"/>
          <w:szCs w:val="20"/>
        </w:rPr>
        <w:t xml:space="preserve"> se contabiliza una provisión en base al análisis individual y estos ajustes se registran en los resultados del año en que se origina. </w:t>
      </w:r>
    </w:p>
    <w:p w14:paraId="78BFCEFB" w14:textId="77777777" w:rsidR="00B80195" w:rsidRPr="0050759F" w:rsidRDefault="00B80195" w:rsidP="00B80195">
      <w:pPr>
        <w:ind w:left="851"/>
        <w:jc w:val="both"/>
        <w:rPr>
          <w:rFonts w:ascii="Arial" w:hAnsi="Arial" w:cs="Arial"/>
          <w:sz w:val="20"/>
          <w:szCs w:val="20"/>
        </w:rPr>
      </w:pPr>
    </w:p>
    <w:p w14:paraId="71745C3B" w14:textId="77777777"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Los castigos de los activos en los cuales existe una provisión se disminuyen de estas y en caso de que existan excedentes se registran en los resultados en el periodo en que se determina. Las recuperaciones en el valor de los activos cuyo valor fue disminuido se registran en los resultados cuando dicho evento ocurre.</w:t>
      </w:r>
    </w:p>
    <w:p w14:paraId="180336C0" w14:textId="77777777" w:rsidR="00B80195" w:rsidRPr="0050759F" w:rsidRDefault="00B80195" w:rsidP="00B80195">
      <w:pPr>
        <w:ind w:left="851"/>
        <w:jc w:val="both"/>
        <w:rPr>
          <w:rFonts w:ascii="Arial" w:hAnsi="Arial" w:cs="Arial"/>
          <w:sz w:val="20"/>
          <w:szCs w:val="20"/>
        </w:rPr>
      </w:pPr>
    </w:p>
    <w:p w14:paraId="4E582C35" w14:textId="77777777"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tab/>
      </w:r>
      <w:r w:rsidRPr="0050759F">
        <w:rPr>
          <w:rFonts w:ascii="Arial" w:hAnsi="Arial" w:cs="Arial"/>
          <w:b/>
          <w:sz w:val="20"/>
          <w:szCs w:val="20"/>
        </w:rPr>
        <w:t>Activos financieros contabilizados al costo amortizado</w:t>
      </w:r>
    </w:p>
    <w:p w14:paraId="27A4B988" w14:textId="77777777" w:rsidR="00B80195" w:rsidRPr="0050759F" w:rsidRDefault="00B80195" w:rsidP="00B80195">
      <w:pPr>
        <w:pStyle w:val="Prrafodelista"/>
        <w:spacing w:before="0" w:after="0"/>
        <w:ind w:left="851"/>
        <w:rPr>
          <w:rFonts w:ascii="Arial" w:hAnsi="Arial" w:cs="Arial"/>
          <w:sz w:val="20"/>
          <w:szCs w:val="20"/>
        </w:rPr>
      </w:pPr>
    </w:p>
    <w:p w14:paraId="756E6CCC" w14:textId="77777777"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lastRenderedPageBreak/>
        <w:t>En los activos financieros al costo amortizado la Compañía evalúa en forma individual si existe información objetiva y apropiada si el activo se encuentra deteriorado como resultado de un evento o eventos que afectan al valor registrado inicialmente y en el caso de que la evidencia no permita determinar si existe deterioro, estos activos son evaluados en forma colectiva con el grupo de activos de características similares. El ajuste por deterioro de los activos evaluados en forma individual se reconoce y se sigue reconociendo en el momento que se origina la pérdida y no son incluidos en los activos evaluados en forma colectiva.</w:t>
      </w:r>
    </w:p>
    <w:p w14:paraId="2850B882" w14:textId="77777777" w:rsidR="00B80195" w:rsidRPr="0050759F" w:rsidRDefault="00B80195" w:rsidP="00B80195">
      <w:pPr>
        <w:pStyle w:val="Prrafodelista"/>
        <w:spacing w:before="0" w:after="0"/>
        <w:ind w:left="1134"/>
        <w:rPr>
          <w:rFonts w:ascii="Arial" w:hAnsi="Arial" w:cs="Arial"/>
          <w:sz w:val="20"/>
          <w:szCs w:val="20"/>
        </w:rPr>
      </w:pPr>
    </w:p>
    <w:p w14:paraId="3BC32A5E" w14:textId="77777777"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La pérdida por el deterioro del valor del activo se determina entre la diferencia del importe en libros del activo y el valor presente de los flujos de efectivo futuros estimados (excluyendo las pérdidas de crédito futuras esperadas y que aún no se producen). El valor presente de los flujos de efectivo futuros estimados se descuenta a la tasa de interés efectiva original de los activos financieros y en el caso de que un activo devengue una tasa de interés variable, la tasa de descuento para medir cualquier pérdida por deterioro del valor es la tasa de interés efectiva actual.</w:t>
      </w:r>
    </w:p>
    <w:p w14:paraId="493D3B81" w14:textId="77777777" w:rsidR="00B80195" w:rsidRPr="0050759F" w:rsidRDefault="00B80195" w:rsidP="00B80195">
      <w:pPr>
        <w:pStyle w:val="Prrafodelista"/>
        <w:spacing w:before="0" w:after="0"/>
        <w:ind w:left="1134"/>
        <w:rPr>
          <w:rFonts w:ascii="Arial" w:hAnsi="Arial" w:cs="Arial"/>
          <w:sz w:val="20"/>
          <w:szCs w:val="20"/>
        </w:rPr>
      </w:pPr>
    </w:p>
    <w:p w14:paraId="4D209828" w14:textId="77777777"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La pérdida del valor en libros del activo deteriorado se reconoce en la cuenta de provisión y en el estado de resultados integrales al momento que se origina y en el evento de que se determina que no existe deterioro, el valor provisionado se acredita en el estado de resultados integrales. Los préstamos y la provisión correspondiente se dan de baja cuando no existen probabilidades reales de recuperación y no existen garantías reales que cubran el activo deteriorado. Los incrementos o disminuciones de la provisión inicial se reconocen en los resultados en el momento que se determina estos eventos.</w:t>
      </w:r>
    </w:p>
    <w:p w14:paraId="767A1DA1" w14:textId="77777777" w:rsidR="00B80195" w:rsidRDefault="00B80195" w:rsidP="00B80195">
      <w:pPr>
        <w:pStyle w:val="Prrafodelista"/>
        <w:spacing w:before="0" w:after="0"/>
        <w:ind w:left="0"/>
        <w:rPr>
          <w:rFonts w:ascii="Arial" w:hAnsi="Arial" w:cs="Arial"/>
          <w:sz w:val="20"/>
          <w:szCs w:val="20"/>
        </w:rPr>
      </w:pPr>
    </w:p>
    <w:p w14:paraId="45CFA74B" w14:textId="77777777" w:rsidR="00B80195" w:rsidRPr="00F82A8D" w:rsidRDefault="00B80195" w:rsidP="00B80195">
      <w:pPr>
        <w:ind w:left="709"/>
        <w:jc w:val="both"/>
        <w:rPr>
          <w:rFonts w:ascii="Arial" w:hAnsi="Arial" w:cs="Arial"/>
          <w:b/>
          <w:sz w:val="20"/>
          <w:szCs w:val="20"/>
        </w:rPr>
      </w:pPr>
      <w:r w:rsidRPr="00F82A8D">
        <w:rPr>
          <w:rFonts w:ascii="Arial" w:hAnsi="Arial" w:cs="Arial"/>
          <w:b/>
          <w:sz w:val="20"/>
          <w:szCs w:val="20"/>
        </w:rPr>
        <w:t>Baja de activos financieros</w:t>
      </w:r>
    </w:p>
    <w:p w14:paraId="4A51C130" w14:textId="77777777" w:rsidR="00B80195" w:rsidRPr="0050759F" w:rsidRDefault="00B80195" w:rsidP="00B80195">
      <w:pPr>
        <w:ind w:left="851"/>
        <w:jc w:val="both"/>
        <w:rPr>
          <w:rFonts w:ascii="Arial" w:hAnsi="Arial" w:cs="Arial"/>
          <w:sz w:val="20"/>
          <w:szCs w:val="20"/>
        </w:rPr>
      </w:pPr>
    </w:p>
    <w:p w14:paraId="3D6D1937" w14:textId="77777777" w:rsidR="00B80195" w:rsidRPr="0050759F" w:rsidRDefault="00B80195" w:rsidP="00B80195">
      <w:pPr>
        <w:ind w:left="851"/>
        <w:jc w:val="both"/>
        <w:rPr>
          <w:rFonts w:ascii="Arial" w:hAnsi="Arial" w:cs="Arial"/>
          <w:sz w:val="20"/>
          <w:szCs w:val="20"/>
        </w:rPr>
      </w:pPr>
      <w:r w:rsidRPr="0050759F">
        <w:rPr>
          <w:rFonts w:ascii="Arial" w:hAnsi="Arial" w:cs="Arial"/>
          <w:sz w:val="20"/>
          <w:szCs w:val="20"/>
        </w:rPr>
        <w:t xml:space="preserve">Un activo financiero es dado de baja cuando: </w:t>
      </w:r>
    </w:p>
    <w:p w14:paraId="1D6D3776" w14:textId="77777777" w:rsidR="00B80195" w:rsidRPr="0050759F" w:rsidRDefault="00B80195" w:rsidP="00B80195">
      <w:pPr>
        <w:tabs>
          <w:tab w:val="left" w:pos="1134"/>
        </w:tabs>
        <w:ind w:left="851"/>
        <w:jc w:val="both"/>
        <w:rPr>
          <w:rFonts w:ascii="Arial" w:hAnsi="Arial" w:cs="Arial"/>
          <w:sz w:val="20"/>
          <w:szCs w:val="20"/>
        </w:rPr>
      </w:pPr>
    </w:p>
    <w:p w14:paraId="01F5739A" w14:textId="77777777"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los derechos de recibir los flujos de efectivo del activo han terminado;</w:t>
      </w:r>
    </w:p>
    <w:p w14:paraId="4060843B" w14:textId="77777777"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transfiere sus derechos a recibir los flujos de efectivo del activo o ha asumido una obligación de pagar la totalidad de los flujos de efectivo recibidos inmediatamente a una tercera parte bajo un acuerdo de traspaso; y,</w:t>
      </w:r>
    </w:p>
    <w:p w14:paraId="51BDA87F" w14:textId="77777777"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ha transferido sustancialmente todos los riesgos y beneficios del activo o, de no haber transferido ni retenido sustancialmente todos los riesgos y beneficios del activo, si ha transferido su control.</w:t>
      </w:r>
    </w:p>
    <w:p w14:paraId="73F5F18A" w14:textId="77777777" w:rsidR="00D22974" w:rsidRDefault="00D22974" w:rsidP="00B80195">
      <w:pPr>
        <w:ind w:left="709"/>
        <w:jc w:val="both"/>
        <w:rPr>
          <w:rFonts w:ascii="Arial" w:hAnsi="Arial" w:cs="Arial"/>
          <w:b/>
          <w:sz w:val="20"/>
          <w:szCs w:val="20"/>
          <w:u w:val="single"/>
          <w:lang w:val="es-EC" w:eastAsia="es-EC"/>
        </w:rPr>
      </w:pPr>
    </w:p>
    <w:p w14:paraId="3D40406E" w14:textId="77777777" w:rsidR="00B80195" w:rsidRPr="00F82A8D" w:rsidRDefault="00B80195" w:rsidP="00B80195">
      <w:pPr>
        <w:ind w:left="709"/>
        <w:jc w:val="both"/>
        <w:rPr>
          <w:rFonts w:ascii="Arial" w:hAnsi="Arial" w:cs="Arial"/>
          <w:b/>
          <w:bCs/>
          <w:snapToGrid w:val="0"/>
          <w:sz w:val="20"/>
          <w:szCs w:val="20"/>
          <w:u w:val="single"/>
          <w:lang w:eastAsia="en-US"/>
        </w:rPr>
      </w:pPr>
      <w:r w:rsidRPr="00F82A8D">
        <w:rPr>
          <w:rFonts w:ascii="Arial" w:hAnsi="Arial" w:cs="Arial"/>
          <w:b/>
          <w:sz w:val="20"/>
          <w:szCs w:val="20"/>
          <w:u w:val="single"/>
          <w:lang w:val="es-EC" w:eastAsia="es-EC"/>
        </w:rPr>
        <w:t>Pasivos financieros</w:t>
      </w:r>
    </w:p>
    <w:p w14:paraId="64F49B31" w14:textId="77777777" w:rsidR="00B80195" w:rsidRPr="0050759F" w:rsidRDefault="00B80195" w:rsidP="00B80195">
      <w:pPr>
        <w:ind w:left="1276"/>
        <w:jc w:val="both"/>
        <w:rPr>
          <w:rFonts w:ascii="Arial" w:hAnsi="Arial" w:cs="Arial"/>
          <w:sz w:val="20"/>
          <w:szCs w:val="20"/>
        </w:rPr>
      </w:pPr>
    </w:p>
    <w:p w14:paraId="16F2A1D6" w14:textId="77777777" w:rsidR="00B80195" w:rsidRPr="00F82A8D" w:rsidRDefault="00B80195" w:rsidP="00B80195">
      <w:pPr>
        <w:ind w:left="709"/>
        <w:jc w:val="both"/>
        <w:rPr>
          <w:rFonts w:ascii="Arial" w:hAnsi="Arial" w:cs="Arial"/>
          <w:b/>
          <w:sz w:val="20"/>
          <w:szCs w:val="20"/>
          <w:lang w:eastAsia="es-EC"/>
        </w:rPr>
      </w:pPr>
      <w:r w:rsidRPr="00F82A8D">
        <w:rPr>
          <w:rFonts w:ascii="Arial" w:hAnsi="Arial" w:cs="Arial"/>
          <w:b/>
          <w:sz w:val="20"/>
          <w:szCs w:val="20"/>
          <w:lang w:eastAsia="es-EC"/>
        </w:rPr>
        <w:t>Reconocimiento y medición inicial</w:t>
      </w:r>
    </w:p>
    <w:p w14:paraId="75374BF5" w14:textId="77777777" w:rsidR="00B80195" w:rsidRPr="0050759F" w:rsidRDefault="00B80195" w:rsidP="00B80195">
      <w:pPr>
        <w:ind w:left="709"/>
        <w:jc w:val="both"/>
        <w:rPr>
          <w:rFonts w:ascii="Arial" w:hAnsi="Arial" w:cs="Arial"/>
          <w:b/>
          <w:sz w:val="20"/>
          <w:szCs w:val="20"/>
          <w:lang w:eastAsia="es-EC"/>
        </w:rPr>
      </w:pPr>
    </w:p>
    <w:p w14:paraId="6569DF34"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se reconocen cuando existe un acuerdo contractual y se registran al valor acordado de pago más los costos atribuibles – valor razonable.</w:t>
      </w:r>
    </w:p>
    <w:p w14:paraId="29A4A8A1" w14:textId="77777777" w:rsidR="00B80195" w:rsidRPr="00A207C3" w:rsidRDefault="00B80195" w:rsidP="00B80195">
      <w:pPr>
        <w:ind w:left="709"/>
        <w:jc w:val="both"/>
        <w:rPr>
          <w:rFonts w:ascii="Arial" w:hAnsi="Arial" w:cs="Arial"/>
          <w:sz w:val="20"/>
          <w:szCs w:val="20"/>
        </w:rPr>
      </w:pPr>
    </w:p>
    <w:p w14:paraId="2CE6010E"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constituyen: préstamos y cuentas por pagar comerciales y otras cuentas por pagar, que cumplen con la característica de instrumento financiero, los cuales corresponden a transacciones por bienes o servicios adquiridos del curso normal de los negocios que están pendientes de pago y se clasifican como pasivos corrientes cuando el plazo de pago es de un año o menos y como pasivos no corrientes cuando el plazo excede más de un año.</w:t>
      </w:r>
    </w:p>
    <w:p w14:paraId="0EC34464" w14:textId="77777777" w:rsidR="00B80195" w:rsidRPr="00A207C3" w:rsidRDefault="00B80195" w:rsidP="00B80195">
      <w:pPr>
        <w:ind w:left="709"/>
        <w:jc w:val="both"/>
        <w:rPr>
          <w:rFonts w:ascii="Arial" w:hAnsi="Arial" w:cs="Arial"/>
          <w:sz w:val="20"/>
          <w:szCs w:val="20"/>
        </w:rPr>
      </w:pPr>
    </w:p>
    <w:p w14:paraId="74235CAF"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se registran: (a) al valor razonable; y, (b) al costo amortizado.</w:t>
      </w:r>
    </w:p>
    <w:p w14:paraId="0BA793CC" w14:textId="77777777" w:rsidR="00B80195" w:rsidRPr="00A207C3" w:rsidRDefault="00B80195" w:rsidP="00B80195">
      <w:pPr>
        <w:ind w:left="709"/>
        <w:jc w:val="both"/>
        <w:rPr>
          <w:rFonts w:ascii="Arial" w:hAnsi="Arial" w:cs="Arial"/>
          <w:sz w:val="20"/>
          <w:szCs w:val="20"/>
        </w:rPr>
      </w:pPr>
    </w:p>
    <w:p w14:paraId="36DDB414"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costo principalmente corresponden a:</w:t>
      </w:r>
    </w:p>
    <w:p w14:paraId="72523B3B" w14:textId="77777777" w:rsidR="00B80195" w:rsidRPr="00A207C3" w:rsidRDefault="00B80195" w:rsidP="00B80195">
      <w:pPr>
        <w:ind w:left="709"/>
        <w:jc w:val="both"/>
        <w:rPr>
          <w:rFonts w:ascii="Arial" w:hAnsi="Arial" w:cs="Arial"/>
          <w:sz w:val="20"/>
          <w:szCs w:val="20"/>
        </w:rPr>
      </w:pPr>
    </w:p>
    <w:p w14:paraId="57B729B6" w14:textId="77777777" w:rsidR="00B80195" w:rsidRPr="00A207C3" w:rsidRDefault="00B80195" w:rsidP="00161D0E">
      <w:pPr>
        <w:numPr>
          <w:ilvl w:val="0"/>
          <w:numId w:val="5"/>
        </w:numPr>
        <w:ind w:left="1276" w:hanging="567"/>
        <w:jc w:val="both"/>
        <w:rPr>
          <w:rFonts w:ascii="Arial" w:hAnsi="Arial" w:cs="Arial"/>
          <w:sz w:val="20"/>
          <w:szCs w:val="20"/>
        </w:rPr>
      </w:pPr>
      <w:r w:rsidRPr="00A207C3">
        <w:rPr>
          <w:rFonts w:ascii="Arial" w:hAnsi="Arial" w:cs="Arial"/>
          <w:sz w:val="20"/>
          <w:szCs w:val="20"/>
        </w:rPr>
        <w:lastRenderedPageBreak/>
        <w:t>Los préstamos a tasas fijas de interés y los cuales no contemplan ningún reajuste periódico.</w:t>
      </w:r>
    </w:p>
    <w:p w14:paraId="28C81EE2" w14:textId="1520CA18" w:rsidR="00B80195" w:rsidRPr="00A207C3" w:rsidRDefault="00EA25B0" w:rsidP="00161D0E">
      <w:pPr>
        <w:numPr>
          <w:ilvl w:val="0"/>
          <w:numId w:val="5"/>
        </w:numPr>
        <w:ind w:left="1276" w:hanging="567"/>
        <w:jc w:val="both"/>
        <w:rPr>
          <w:rFonts w:ascii="Arial" w:hAnsi="Arial" w:cs="Arial"/>
          <w:sz w:val="20"/>
          <w:szCs w:val="20"/>
        </w:rPr>
      </w:pPr>
      <w:r w:rsidRPr="00A207C3">
        <w:rPr>
          <w:rFonts w:ascii="Arial" w:hAnsi="Arial" w:cs="Arial"/>
          <w:sz w:val="20"/>
          <w:szCs w:val="20"/>
        </w:rPr>
        <w:t>Las cuentas por pagar cuyo plazo de pago son</w:t>
      </w:r>
      <w:r w:rsidR="00B80195" w:rsidRPr="00A207C3">
        <w:rPr>
          <w:rFonts w:ascii="Arial" w:hAnsi="Arial" w:cs="Arial"/>
          <w:sz w:val="20"/>
          <w:szCs w:val="20"/>
        </w:rPr>
        <w:t xml:space="preserve"> </w:t>
      </w:r>
      <w:proofErr w:type="gramStart"/>
      <w:r w:rsidR="00B80195" w:rsidRPr="00A207C3">
        <w:rPr>
          <w:rFonts w:ascii="Arial" w:hAnsi="Arial" w:cs="Arial"/>
          <w:sz w:val="20"/>
          <w:szCs w:val="20"/>
        </w:rPr>
        <w:t>mayor</w:t>
      </w:r>
      <w:proofErr w:type="gramEnd"/>
      <w:r w:rsidR="00B80195" w:rsidRPr="00A207C3">
        <w:rPr>
          <w:rFonts w:ascii="Arial" w:hAnsi="Arial" w:cs="Arial"/>
          <w:sz w:val="20"/>
          <w:szCs w:val="20"/>
        </w:rPr>
        <w:t xml:space="preserve"> a los 90 días y no incluyen ninguna tasa de interés.</w:t>
      </w:r>
    </w:p>
    <w:p w14:paraId="20558FEE" w14:textId="77777777" w:rsidR="00B80195" w:rsidRPr="00A207C3" w:rsidRDefault="00B80195" w:rsidP="00B80195">
      <w:pPr>
        <w:ind w:left="709"/>
        <w:jc w:val="both"/>
        <w:rPr>
          <w:rFonts w:ascii="Arial" w:hAnsi="Arial" w:cs="Arial"/>
          <w:sz w:val="20"/>
          <w:szCs w:val="20"/>
        </w:rPr>
      </w:pPr>
    </w:p>
    <w:p w14:paraId="0D7F7069"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El costo amortizado es calculado utilizando el método de la tasa de interés efectiva, para lo cual se incluye cualquier descuento o prima en la emisión y los costos que son parte integral de la tasa efectiva de interés.</w:t>
      </w:r>
    </w:p>
    <w:p w14:paraId="6D08228A" w14:textId="77777777" w:rsidR="00B80195" w:rsidRPr="00327BEB" w:rsidRDefault="00B80195" w:rsidP="00B80195">
      <w:pPr>
        <w:ind w:left="1276"/>
        <w:jc w:val="both"/>
        <w:rPr>
          <w:rFonts w:ascii="Arial" w:hAnsi="Arial" w:cs="Arial"/>
          <w:b/>
          <w:sz w:val="20"/>
          <w:szCs w:val="20"/>
        </w:rPr>
      </w:pPr>
    </w:p>
    <w:p w14:paraId="6C220363" w14:textId="77777777"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Medición posterior</w:t>
      </w:r>
    </w:p>
    <w:p w14:paraId="6FE8E586" w14:textId="77777777" w:rsidR="00B80195" w:rsidRPr="0050759F" w:rsidRDefault="00B80195" w:rsidP="00B80195">
      <w:pPr>
        <w:ind w:left="709"/>
        <w:jc w:val="both"/>
        <w:rPr>
          <w:rFonts w:ascii="Arial" w:hAnsi="Arial" w:cs="Arial"/>
          <w:sz w:val="20"/>
          <w:szCs w:val="20"/>
        </w:rPr>
      </w:pPr>
    </w:p>
    <w:p w14:paraId="54BA298F"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valor razonable se ajustan en forma posterior, el cual conjuntamente con los intereses se registran en los resultados de período.</w:t>
      </w:r>
    </w:p>
    <w:p w14:paraId="04D931BD" w14:textId="77777777" w:rsidR="00B80195" w:rsidRPr="00A207C3" w:rsidRDefault="00B80195" w:rsidP="00B80195">
      <w:pPr>
        <w:ind w:left="1276"/>
        <w:jc w:val="both"/>
        <w:rPr>
          <w:rFonts w:ascii="Arial" w:hAnsi="Arial" w:cs="Arial"/>
          <w:sz w:val="20"/>
          <w:szCs w:val="20"/>
        </w:rPr>
      </w:pPr>
    </w:p>
    <w:p w14:paraId="1B55CA86" w14:textId="77777777"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La diferencia entre el valor nominal y el costo amortizado se reconoce en los resultados por el método del interés; mientras que las ganancias o pérdidas en la cancelación de los pasivos financieros se reconocen en los resultados cuando los pasivos son cancelados o dados de baja.</w:t>
      </w:r>
    </w:p>
    <w:p w14:paraId="45472642" w14:textId="77777777" w:rsidR="00B80195" w:rsidRDefault="00B80195" w:rsidP="00B80195">
      <w:pPr>
        <w:ind w:left="709"/>
        <w:jc w:val="both"/>
        <w:rPr>
          <w:rFonts w:ascii="Arial" w:hAnsi="Arial" w:cs="Arial"/>
          <w:b/>
          <w:sz w:val="20"/>
          <w:szCs w:val="20"/>
        </w:rPr>
      </w:pPr>
    </w:p>
    <w:p w14:paraId="559398ED" w14:textId="77777777"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Baja de pasivos financieros</w:t>
      </w:r>
    </w:p>
    <w:p w14:paraId="1A5EABF8" w14:textId="77777777" w:rsidR="00B80195" w:rsidRPr="0050759F" w:rsidRDefault="00B80195" w:rsidP="00B80195">
      <w:pPr>
        <w:pStyle w:val="Prrafodelista"/>
        <w:tabs>
          <w:tab w:val="left" w:pos="1134"/>
        </w:tabs>
        <w:spacing w:before="0" w:after="0"/>
        <w:ind w:left="709"/>
        <w:rPr>
          <w:rFonts w:ascii="Arial" w:hAnsi="Arial" w:cs="Arial"/>
          <w:sz w:val="20"/>
          <w:szCs w:val="20"/>
        </w:rPr>
      </w:pPr>
    </w:p>
    <w:p w14:paraId="3CF803D7"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Un pasivo financiero es dado de baja cuando la obligación de pago se termina, se cancela o expira. </w:t>
      </w:r>
    </w:p>
    <w:p w14:paraId="11B8122B"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Cuando un pasivo financiero existente es reemplazado por otro del mismo prestatario en condiciones significativamente diferentes, o las condiciones son modificadas en forma importante, dicho reemplazo o modificación se trata como una </w:t>
      </w:r>
      <w:r w:rsidRPr="0050759F">
        <w:rPr>
          <w:rFonts w:ascii="Arial" w:hAnsi="Arial" w:cs="Arial"/>
          <w:sz w:val="20"/>
          <w:szCs w:val="20"/>
          <w:lang w:eastAsia="es-EC"/>
        </w:rPr>
        <w:t>baja</w:t>
      </w:r>
      <w:r w:rsidRPr="0050759F">
        <w:rPr>
          <w:rFonts w:ascii="Arial" w:hAnsi="Arial" w:cs="Arial"/>
          <w:sz w:val="20"/>
          <w:szCs w:val="20"/>
        </w:rPr>
        <w:t xml:space="preserve"> del pasivo original y el reconocimiento de un nuevo pasivo, reconociéndose la diferencia entre ambos en los resultados del período.</w:t>
      </w:r>
    </w:p>
    <w:p w14:paraId="5D9DC4E6" w14:textId="77777777" w:rsidR="00B80195" w:rsidRPr="0050759F" w:rsidRDefault="00B80195" w:rsidP="00B80195">
      <w:pPr>
        <w:ind w:left="709"/>
        <w:jc w:val="both"/>
        <w:rPr>
          <w:rFonts w:ascii="Arial" w:hAnsi="Arial" w:cs="Arial"/>
          <w:b/>
          <w:sz w:val="20"/>
          <w:szCs w:val="20"/>
        </w:rPr>
      </w:pPr>
    </w:p>
    <w:p w14:paraId="08979E20" w14:textId="77777777"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 xml:space="preserve">Compensación de </w:t>
      </w:r>
      <w:r w:rsidRPr="00327BEB">
        <w:rPr>
          <w:rFonts w:ascii="Arial" w:hAnsi="Arial" w:cs="Arial"/>
          <w:b/>
          <w:sz w:val="20"/>
          <w:szCs w:val="20"/>
          <w:lang w:val="es-EC" w:eastAsia="es-EC"/>
        </w:rPr>
        <w:t>instrumentos</w:t>
      </w:r>
      <w:r w:rsidRPr="00327BEB">
        <w:rPr>
          <w:rFonts w:ascii="Arial" w:hAnsi="Arial" w:cs="Arial"/>
          <w:b/>
          <w:sz w:val="20"/>
          <w:szCs w:val="20"/>
        </w:rPr>
        <w:t xml:space="preserve"> financieros</w:t>
      </w:r>
    </w:p>
    <w:p w14:paraId="3B99DAB0" w14:textId="77777777" w:rsidR="00B80195" w:rsidRPr="0050759F" w:rsidRDefault="00B80195" w:rsidP="00B80195">
      <w:pPr>
        <w:ind w:left="709"/>
        <w:jc w:val="both"/>
        <w:rPr>
          <w:rFonts w:ascii="Arial" w:hAnsi="Arial" w:cs="Arial"/>
          <w:sz w:val="20"/>
          <w:szCs w:val="20"/>
        </w:rPr>
      </w:pPr>
    </w:p>
    <w:p w14:paraId="18675A19" w14:textId="77777777" w:rsidR="00B80195" w:rsidRDefault="00B80195" w:rsidP="00B80195">
      <w:pPr>
        <w:tabs>
          <w:tab w:val="left" w:pos="993"/>
        </w:tabs>
        <w:ind w:left="709"/>
        <w:jc w:val="both"/>
        <w:rPr>
          <w:rFonts w:ascii="Arial" w:hAnsi="Arial" w:cs="Arial"/>
          <w:sz w:val="20"/>
          <w:szCs w:val="20"/>
        </w:rPr>
      </w:pPr>
      <w:r w:rsidRPr="0050759F">
        <w:rPr>
          <w:rFonts w:ascii="Arial" w:hAnsi="Arial" w:cs="Arial"/>
          <w:sz w:val="20"/>
          <w:szCs w:val="20"/>
        </w:rPr>
        <w:t>Los activos y pasivos financieros objeto de compensación de dichos saldos se presentan en el balance general a valor neto, cuando existe el derecho legal de compensarlos y la Compañía tiene la intención de liquidarlos mediante este procedimiento.</w:t>
      </w:r>
    </w:p>
    <w:p w14:paraId="4FF8217C" w14:textId="77777777" w:rsidR="00D22974" w:rsidRPr="0050759F" w:rsidRDefault="00D22974" w:rsidP="00B80195">
      <w:pPr>
        <w:jc w:val="both"/>
        <w:rPr>
          <w:rFonts w:ascii="Arial" w:hAnsi="Arial" w:cs="Arial"/>
          <w:sz w:val="20"/>
          <w:szCs w:val="20"/>
          <w:lang w:eastAsia="es-EC"/>
        </w:rPr>
      </w:pPr>
    </w:p>
    <w:p w14:paraId="7D2978EC" w14:textId="281088B4" w:rsidR="00B80195" w:rsidRPr="0050759F" w:rsidRDefault="00B80195" w:rsidP="00161D0E">
      <w:pPr>
        <w:numPr>
          <w:ilvl w:val="0"/>
          <w:numId w:val="5"/>
        </w:numPr>
        <w:ind w:left="709" w:hanging="709"/>
        <w:jc w:val="both"/>
        <w:rPr>
          <w:rFonts w:ascii="Arial" w:hAnsi="Arial" w:cs="Arial"/>
          <w:b/>
          <w:sz w:val="20"/>
          <w:szCs w:val="20"/>
        </w:rPr>
      </w:pPr>
      <w:r>
        <w:rPr>
          <w:rFonts w:ascii="Arial" w:hAnsi="Arial" w:cs="Arial"/>
          <w:b/>
          <w:bCs/>
          <w:snapToGrid w:val="0"/>
          <w:sz w:val="20"/>
          <w:szCs w:val="20"/>
          <w:lang w:eastAsia="en-US"/>
        </w:rPr>
        <w:t>Mobiliario</w:t>
      </w:r>
      <w:r w:rsidR="00CB6667">
        <w:rPr>
          <w:rFonts w:ascii="Arial" w:hAnsi="Arial" w:cs="Arial"/>
          <w:b/>
          <w:bCs/>
          <w:snapToGrid w:val="0"/>
          <w:sz w:val="20"/>
          <w:szCs w:val="20"/>
          <w:lang w:eastAsia="en-US"/>
        </w:rPr>
        <w:t xml:space="preserve"> y </w:t>
      </w:r>
      <w:r>
        <w:rPr>
          <w:rFonts w:ascii="Arial" w:hAnsi="Arial" w:cs="Arial"/>
          <w:b/>
          <w:bCs/>
          <w:snapToGrid w:val="0"/>
          <w:sz w:val="20"/>
          <w:szCs w:val="20"/>
          <w:lang w:eastAsia="en-US"/>
        </w:rPr>
        <w:t>vehículos</w:t>
      </w:r>
    </w:p>
    <w:p w14:paraId="3B10DEA2" w14:textId="77777777" w:rsidR="00B80195" w:rsidRPr="0050759F" w:rsidRDefault="00B80195" w:rsidP="00B80195">
      <w:pPr>
        <w:ind w:left="709"/>
        <w:rPr>
          <w:rFonts w:ascii="Arial" w:hAnsi="Arial" w:cs="Arial"/>
          <w:sz w:val="20"/>
          <w:szCs w:val="20"/>
        </w:rPr>
      </w:pPr>
    </w:p>
    <w:p w14:paraId="1139D215" w14:textId="77777777" w:rsidR="00B80195" w:rsidRPr="00327BEB" w:rsidRDefault="00B80195" w:rsidP="00B80195">
      <w:pPr>
        <w:ind w:left="709"/>
        <w:rPr>
          <w:rFonts w:ascii="Arial" w:hAnsi="Arial" w:cs="Arial"/>
          <w:b/>
          <w:bCs/>
          <w:sz w:val="20"/>
          <w:szCs w:val="20"/>
          <w:u w:val="single"/>
        </w:rPr>
      </w:pPr>
      <w:r w:rsidRPr="00327BEB">
        <w:rPr>
          <w:rFonts w:ascii="Arial" w:hAnsi="Arial" w:cs="Arial"/>
          <w:b/>
          <w:bCs/>
          <w:sz w:val="20"/>
          <w:szCs w:val="20"/>
          <w:u w:val="single"/>
        </w:rPr>
        <w:t>Medición y reconocimiento</w:t>
      </w:r>
    </w:p>
    <w:p w14:paraId="723D3250" w14:textId="77777777" w:rsidR="00B80195" w:rsidRPr="0050759F" w:rsidRDefault="00B80195" w:rsidP="00B80195">
      <w:pPr>
        <w:ind w:left="709"/>
        <w:rPr>
          <w:rFonts w:ascii="Arial" w:hAnsi="Arial" w:cs="Arial"/>
          <w:sz w:val="20"/>
          <w:szCs w:val="20"/>
        </w:rPr>
      </w:pPr>
    </w:p>
    <w:p w14:paraId="30C01A3B" w14:textId="77777777"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El mobiliario, vehículos y equipos</w:t>
      </w:r>
      <w:r w:rsidR="00F17DA5">
        <w:rPr>
          <w:rFonts w:ascii="Arial" w:hAnsi="Arial" w:cs="Arial"/>
          <w:sz w:val="20"/>
          <w:szCs w:val="20"/>
          <w:lang w:eastAsia="es-EC"/>
        </w:rPr>
        <w:t xml:space="preserve"> </w:t>
      </w:r>
      <w:r w:rsidRPr="0050759F">
        <w:rPr>
          <w:rFonts w:ascii="Arial" w:hAnsi="Arial" w:cs="Arial"/>
          <w:sz w:val="20"/>
          <w:szCs w:val="20"/>
          <w:lang w:eastAsia="es-EC"/>
        </w:rPr>
        <w:t>se registra</w:t>
      </w:r>
      <w:r>
        <w:rPr>
          <w:rFonts w:ascii="Arial" w:hAnsi="Arial" w:cs="Arial"/>
          <w:sz w:val="20"/>
          <w:szCs w:val="20"/>
          <w:lang w:eastAsia="es-EC"/>
        </w:rPr>
        <w:t>n</w:t>
      </w:r>
      <w:r w:rsidRPr="0050759F">
        <w:rPr>
          <w:rFonts w:ascii="Arial" w:hAnsi="Arial" w:cs="Arial"/>
          <w:sz w:val="20"/>
          <w:szCs w:val="20"/>
          <w:lang w:eastAsia="es-EC"/>
        </w:rPr>
        <w:t xml:space="preserve"> al costo y se presenta neto de la depreciación acumulada.</w:t>
      </w:r>
    </w:p>
    <w:p w14:paraId="54BB03F4" w14:textId="77777777" w:rsidR="00B80195" w:rsidRPr="0050759F" w:rsidRDefault="00B80195" w:rsidP="00B80195">
      <w:pPr>
        <w:ind w:left="709"/>
        <w:jc w:val="both"/>
        <w:rPr>
          <w:rFonts w:ascii="Arial" w:hAnsi="Arial" w:cs="Arial"/>
          <w:sz w:val="20"/>
          <w:szCs w:val="20"/>
          <w:lang w:eastAsia="es-EC"/>
        </w:rPr>
      </w:pPr>
    </w:p>
    <w:p w14:paraId="25937C29"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de los activos constituye todos los desembolsos incurridos hasta que están listos para su uso y se deprecian a partir de la puesta en marcha.</w:t>
      </w:r>
    </w:p>
    <w:p w14:paraId="260F068A" w14:textId="77777777" w:rsidR="00B80195" w:rsidRPr="0050759F" w:rsidRDefault="00B80195" w:rsidP="00B80195">
      <w:pPr>
        <w:ind w:left="709"/>
        <w:jc w:val="both"/>
        <w:rPr>
          <w:rFonts w:ascii="Arial" w:hAnsi="Arial" w:cs="Arial"/>
          <w:sz w:val="20"/>
          <w:szCs w:val="20"/>
          <w:lang w:eastAsia="es-EC"/>
        </w:rPr>
      </w:pPr>
    </w:p>
    <w:p w14:paraId="297AA736" w14:textId="77777777"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Costos posteriores</w:t>
      </w:r>
    </w:p>
    <w:p w14:paraId="616D9C9B" w14:textId="77777777" w:rsidR="00B80195" w:rsidRPr="0050759F" w:rsidRDefault="00B80195" w:rsidP="00B80195">
      <w:pPr>
        <w:ind w:left="709"/>
        <w:jc w:val="both"/>
        <w:rPr>
          <w:rFonts w:ascii="Arial" w:hAnsi="Arial" w:cs="Arial"/>
          <w:sz w:val="20"/>
          <w:szCs w:val="20"/>
          <w:lang w:eastAsia="es-EC"/>
        </w:rPr>
      </w:pPr>
    </w:p>
    <w:p w14:paraId="451DC5EB"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desembolsos por reparación y mantenimiento efectuados para reparar o mantener el beneficio económico futu</w:t>
      </w:r>
      <w:r>
        <w:rPr>
          <w:rFonts w:ascii="Arial" w:hAnsi="Arial" w:cs="Arial"/>
          <w:sz w:val="20"/>
          <w:szCs w:val="20"/>
          <w:lang w:eastAsia="es-EC"/>
        </w:rPr>
        <w:t xml:space="preserve">ro esperado del mobiliario, vehículos y equipos </w:t>
      </w:r>
      <w:r w:rsidRPr="0050759F">
        <w:rPr>
          <w:rFonts w:ascii="Arial" w:hAnsi="Arial" w:cs="Arial"/>
          <w:sz w:val="20"/>
          <w:szCs w:val="20"/>
          <w:lang w:eastAsia="es-EC"/>
        </w:rPr>
        <w:t>se reconoce como un gasto cuando se incurre, mientras que las mejoras de importancia se capitalizan.</w:t>
      </w:r>
    </w:p>
    <w:p w14:paraId="223E9985" w14:textId="77777777" w:rsidR="00B80195" w:rsidRPr="0050759F" w:rsidRDefault="00B80195" w:rsidP="00B80195">
      <w:pPr>
        <w:ind w:left="709"/>
        <w:rPr>
          <w:rFonts w:ascii="Arial" w:hAnsi="Arial" w:cs="Arial"/>
          <w:b/>
          <w:sz w:val="20"/>
          <w:szCs w:val="20"/>
          <w:u w:val="single"/>
          <w:lang w:eastAsia="es-EC"/>
        </w:rPr>
      </w:pPr>
    </w:p>
    <w:p w14:paraId="5694524A" w14:textId="77777777"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Depreciación</w:t>
      </w:r>
    </w:p>
    <w:p w14:paraId="1325CBF5" w14:textId="77777777" w:rsidR="00B80195" w:rsidRPr="0050759F" w:rsidRDefault="00B80195" w:rsidP="00B80195">
      <w:pPr>
        <w:ind w:left="709"/>
        <w:rPr>
          <w:rFonts w:ascii="Arial" w:hAnsi="Arial" w:cs="Arial"/>
          <w:sz w:val="20"/>
          <w:szCs w:val="20"/>
          <w:lang w:eastAsia="es-EC"/>
        </w:rPr>
      </w:pPr>
    </w:p>
    <w:p w14:paraId="2C0E3F23" w14:textId="03DCFA80"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El mobiliario</w:t>
      </w:r>
      <w:r w:rsidR="00CB6667">
        <w:rPr>
          <w:rFonts w:ascii="Arial" w:hAnsi="Arial" w:cs="Arial"/>
          <w:sz w:val="20"/>
          <w:szCs w:val="20"/>
          <w:lang w:eastAsia="es-EC"/>
        </w:rPr>
        <w:t xml:space="preserve"> y </w:t>
      </w:r>
      <w:r>
        <w:rPr>
          <w:rFonts w:ascii="Arial" w:hAnsi="Arial" w:cs="Arial"/>
          <w:sz w:val="20"/>
          <w:szCs w:val="20"/>
          <w:lang w:eastAsia="es-EC"/>
        </w:rPr>
        <w:t xml:space="preserve">vehículos </w:t>
      </w:r>
      <w:r w:rsidRPr="0050759F">
        <w:rPr>
          <w:rFonts w:ascii="Arial" w:hAnsi="Arial" w:cs="Arial"/>
          <w:sz w:val="20"/>
          <w:szCs w:val="20"/>
          <w:lang w:eastAsia="es-EC"/>
        </w:rPr>
        <w:t>se deprecian utilizando el método de línea recta, en base a la vida útil estimada, cuyos años de vida son como sigue:</w:t>
      </w:r>
    </w:p>
    <w:p w14:paraId="5168A8E9" w14:textId="482E6344" w:rsidR="00C03AB5" w:rsidRDefault="00C03AB5"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lastRenderedPageBreak/>
        <w:t xml:space="preserve">Edificios </w:t>
      </w:r>
      <w:r>
        <w:rPr>
          <w:rFonts w:ascii="Arial" w:hAnsi="Arial" w:cs="Arial"/>
          <w:sz w:val="20"/>
          <w:szCs w:val="20"/>
          <w:lang w:val="es-ES_tradnl" w:eastAsia="es-EC"/>
        </w:rPr>
        <w:tab/>
        <w:t>20</w:t>
      </w:r>
    </w:p>
    <w:p w14:paraId="26904265" w14:textId="3BFDBAA7" w:rsidR="00C03AB5" w:rsidRDefault="00C03AB5"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Planta Fotovoltaica</w:t>
      </w:r>
      <w:r>
        <w:rPr>
          <w:rFonts w:ascii="Arial" w:hAnsi="Arial" w:cs="Arial"/>
          <w:sz w:val="20"/>
          <w:szCs w:val="20"/>
          <w:lang w:val="es-ES_tradnl" w:eastAsia="es-EC"/>
        </w:rPr>
        <w:tab/>
        <w:t>20</w:t>
      </w:r>
    </w:p>
    <w:p w14:paraId="7063AD99" w14:textId="36A301FE" w:rsidR="00B80195" w:rsidRDefault="00A3278A"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Muebles</w:t>
      </w:r>
      <w:r w:rsidR="00B90052">
        <w:rPr>
          <w:rFonts w:ascii="Arial" w:hAnsi="Arial" w:cs="Arial"/>
          <w:sz w:val="20"/>
          <w:szCs w:val="20"/>
          <w:lang w:val="es-ES_tradnl" w:eastAsia="es-EC"/>
        </w:rPr>
        <w:t xml:space="preserve"> y enseres</w:t>
      </w:r>
      <w:r w:rsidR="00B80195">
        <w:rPr>
          <w:rFonts w:ascii="Arial" w:hAnsi="Arial" w:cs="Arial"/>
          <w:sz w:val="20"/>
          <w:szCs w:val="20"/>
          <w:lang w:val="es-ES_tradnl" w:eastAsia="es-EC"/>
        </w:rPr>
        <w:tab/>
        <w:t>10</w:t>
      </w:r>
    </w:p>
    <w:p w14:paraId="3B07CAC2" w14:textId="6C8E033A" w:rsidR="00B80195" w:rsidRDefault="00CB6667"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Vehículos</w:t>
      </w:r>
      <w:r w:rsidR="00E47673">
        <w:rPr>
          <w:rFonts w:ascii="Arial" w:hAnsi="Arial" w:cs="Arial"/>
          <w:sz w:val="20"/>
          <w:szCs w:val="20"/>
          <w:lang w:val="es-ES_tradnl" w:eastAsia="es-EC"/>
        </w:rPr>
        <w:tab/>
      </w:r>
      <w:r>
        <w:rPr>
          <w:rFonts w:ascii="Arial" w:hAnsi="Arial" w:cs="Arial"/>
          <w:sz w:val="20"/>
          <w:szCs w:val="20"/>
          <w:lang w:val="es-ES_tradnl" w:eastAsia="es-EC"/>
        </w:rPr>
        <w:t>5</w:t>
      </w:r>
    </w:p>
    <w:p w14:paraId="7E3CF1E4" w14:textId="77777777" w:rsidR="00B80195" w:rsidRPr="0050759F" w:rsidRDefault="00B80195" w:rsidP="00B80195">
      <w:pPr>
        <w:ind w:left="709"/>
        <w:jc w:val="both"/>
        <w:rPr>
          <w:rFonts w:ascii="Arial" w:hAnsi="Arial" w:cs="Arial"/>
          <w:sz w:val="20"/>
          <w:szCs w:val="20"/>
        </w:rPr>
      </w:pPr>
      <w:r>
        <w:rPr>
          <w:rFonts w:ascii="Arial" w:hAnsi="Arial" w:cs="Arial"/>
          <w:noProof/>
          <w:sz w:val="20"/>
          <w:szCs w:val="20"/>
          <w:lang w:val="es-EC" w:eastAsia="es-EC"/>
        </w:rPr>
        <mc:AlternateContent>
          <mc:Choice Requires="wps">
            <w:drawing>
              <wp:anchor distT="0" distB="0" distL="114300" distR="114300" simplePos="0" relativeHeight="251663360" behindDoc="0" locked="0" layoutInCell="1" allowOverlap="1" wp14:anchorId="05BA478B" wp14:editId="56574243">
                <wp:simplePos x="0" y="0"/>
                <wp:positionH relativeFrom="column">
                  <wp:posOffset>3646805</wp:posOffset>
                </wp:positionH>
                <wp:positionV relativeFrom="paragraph">
                  <wp:posOffset>12065</wp:posOffset>
                </wp:positionV>
                <wp:extent cx="344170" cy="635"/>
                <wp:effectExtent l="6985" t="12065" r="10795" b="6350"/>
                <wp:wrapNone/>
                <wp:docPr id="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8E12722" id="_x0000_t32" coordsize="21600,21600" o:spt="32" o:oned="t" path="m,l21600,21600e" filled="f">
                <v:path arrowok="t" fillok="f" o:connecttype="none"/>
                <o:lock v:ext="edit" shapetype="t"/>
              </v:shapetype>
              <v:shape id="Conector recto de flecha 1" o:spid="_x0000_s1026" type="#_x0000_t32" style="position:absolute;margin-left:287.15pt;margin-top:.95pt;width:27.1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O4JwIAAEsEAAAOAAAAZHJzL2Uyb0RvYy54bWysVE2P2jAQvVfqf7ByhySQZdmIsKoS6GXb&#10;RdrtDzC2k1h1bMs2BFT1v3fsBFray2rVHPw58+bNzHNWj6dOoCMzlitZROk0iRCTRFEumyL69rqd&#10;LCNkHZYUCyVZEZ2ZjR7XHz+sep2zmWqVoMwgAJE273URtc7pPI4taVmH7VRpJuGyVqbDDramianB&#10;PaB3Ip4lySLulaHaKMKshdNquIzWAb+uGXHPdW2ZQ6KIgJsLownj3o/xeoXzxmDdcjLSwO9g0WEu&#10;IegVqsIOo4Ph/0B1nBhlVe2mRHWxqmtOWMgBskmTv7J5abFmIRcojtXXMtn/B0u+HncGcQq9i5DE&#10;HbSohEYRpwwyfkKUoVow0mKU+mr12ubgVMqd8fmSk3zRT4p8t0iqssWyYYH161kDVPCIb1z8xmqI&#10;ue+/KAo2+OBUKN2pNp2HhKKgU+jQ+dohdnKIwOE8y9J76COBq8X8zhOKcX7x1Ma6z0x1yC+KyDqD&#10;edM6SGjIKA1x8PHJusHx4uDDSrXlQgQ9CIl6iJXe3wUHqwSn/tKbWdPsS2HQEXtFhW9kcWNm1EHS&#10;ANYyTDfj2mEuhjWwFtLjQWZAZ1wNkvnxkDxslptlNslmi80kS6pq8mlbZpPFFihV86osq/Snp5Zm&#10;ecspZdKzu8g3zd4mj/EhDcK7CvhahvgWPRQayF7mQDq01ndz0MVe0fPO+NL6LoNig/H4uvyT+HMf&#10;rH7/A9a/AAAA//8DAFBLAwQUAAYACAAAACEAGnd+m9wAAAAHAQAADwAAAGRycy9kb3ducmV2Lnht&#10;bEyOwU6DQBRF9yb+w+SZuLODVGpFhsYajemS0g+YMk8gMG8IM7TYr/e5qsubc3PvyTaz7cUJR986&#10;UvC4iEAgVc60VCs4lJ8PaxA+aDK6d4QKftDDJr+9yXRq3JkKPO1DLXiEfKoVNCEMqZS+atBqv3AD&#10;ErNvN1odOI61NKM+87jtZRxFK2l1S/zQ6AHfG6y6/WQVdMtLseua3cfFb0t5SMpioq+tUvd389sr&#10;iIBzuJbhT5/VIWeno5vIeNErSJ6fllxl8AKC+SpeJyCOCuIIZJ7J//75LwAAAP//AwBQSwECLQAU&#10;AAYACAAAACEAtoM4kv4AAADhAQAAEwAAAAAAAAAAAAAAAAAAAAAAW0NvbnRlbnRfVHlwZXNdLnht&#10;bFBLAQItABQABgAIAAAAIQA4/SH/1gAAAJQBAAALAAAAAAAAAAAAAAAAAC8BAABfcmVscy8ucmVs&#10;c1BLAQItABQABgAIAAAAIQBwh5O4JwIAAEsEAAAOAAAAAAAAAAAAAAAAAC4CAABkcnMvZTJvRG9j&#10;LnhtbFBLAQItABQABgAIAAAAIQAad36b3AAAAAcBAAAPAAAAAAAAAAAAAAAAAIEEAABkcnMvZG93&#10;bnJldi54bWxQSwUGAAAAAAQABADzAAAAigUAAAAA&#10;" strokeweight=".25pt"/>
            </w:pict>
          </mc:Fallback>
        </mc:AlternateContent>
      </w:r>
    </w:p>
    <w:p w14:paraId="0318C047" w14:textId="1CE83537" w:rsidR="00B80195" w:rsidRPr="0050759F" w:rsidRDefault="00DC1CD8" w:rsidP="00B80195">
      <w:pPr>
        <w:ind w:left="709"/>
        <w:jc w:val="both"/>
        <w:rPr>
          <w:rFonts w:ascii="Arial" w:hAnsi="Arial" w:cs="Arial"/>
          <w:sz w:val="20"/>
          <w:szCs w:val="20"/>
          <w:lang w:eastAsia="es-EC"/>
        </w:rPr>
      </w:pPr>
      <w:r>
        <w:rPr>
          <w:rFonts w:ascii="Arial" w:hAnsi="Arial" w:cs="Arial"/>
          <w:sz w:val="20"/>
          <w:szCs w:val="20"/>
          <w:lang w:eastAsia="es-EC"/>
        </w:rPr>
        <w:t xml:space="preserve">La Compañía </w:t>
      </w:r>
      <w:r w:rsidR="00C03AB5">
        <w:rPr>
          <w:rFonts w:ascii="Arial" w:hAnsi="Arial" w:cs="Arial"/>
          <w:sz w:val="20"/>
          <w:szCs w:val="20"/>
          <w:lang w:eastAsia="es-EC"/>
        </w:rPr>
        <w:t xml:space="preserve">no </w:t>
      </w:r>
      <w:r>
        <w:rPr>
          <w:rFonts w:ascii="Arial" w:hAnsi="Arial" w:cs="Arial"/>
          <w:sz w:val="20"/>
          <w:szCs w:val="20"/>
          <w:lang w:eastAsia="es-EC"/>
        </w:rPr>
        <w:t xml:space="preserve">considera </w:t>
      </w:r>
      <w:r w:rsidR="00C03AB5">
        <w:rPr>
          <w:rFonts w:ascii="Arial" w:hAnsi="Arial" w:cs="Arial"/>
          <w:sz w:val="20"/>
          <w:szCs w:val="20"/>
          <w:lang w:eastAsia="es-EC"/>
        </w:rPr>
        <w:t xml:space="preserve">el </w:t>
      </w:r>
      <w:r w:rsidR="00B80195" w:rsidRPr="0050759F">
        <w:rPr>
          <w:rFonts w:ascii="Arial" w:hAnsi="Arial" w:cs="Arial"/>
          <w:sz w:val="20"/>
          <w:szCs w:val="20"/>
          <w:lang w:eastAsia="es-EC"/>
        </w:rPr>
        <w:t xml:space="preserve">valor residual a los activos, debido a que </w:t>
      </w:r>
      <w:r>
        <w:rPr>
          <w:rFonts w:ascii="Arial" w:hAnsi="Arial" w:cs="Arial"/>
          <w:sz w:val="20"/>
          <w:szCs w:val="20"/>
          <w:lang w:eastAsia="es-EC"/>
        </w:rPr>
        <w:t xml:space="preserve">se espera </w:t>
      </w:r>
      <w:r w:rsidR="00C03AB5">
        <w:rPr>
          <w:rFonts w:ascii="Arial" w:hAnsi="Arial" w:cs="Arial"/>
          <w:sz w:val="20"/>
          <w:szCs w:val="20"/>
          <w:lang w:eastAsia="es-EC"/>
        </w:rPr>
        <w:t>generar ingresos por el uso de sus activos</w:t>
      </w:r>
    </w:p>
    <w:p w14:paraId="67950E6D" w14:textId="77777777" w:rsidR="00B80195" w:rsidRDefault="00B80195" w:rsidP="00B80195">
      <w:pPr>
        <w:ind w:left="709"/>
        <w:jc w:val="both"/>
        <w:rPr>
          <w:rFonts w:ascii="Arial" w:hAnsi="Arial" w:cs="Arial"/>
          <w:sz w:val="20"/>
          <w:szCs w:val="20"/>
          <w:lang w:eastAsia="es-EC"/>
        </w:rPr>
      </w:pPr>
    </w:p>
    <w:p w14:paraId="5C575300" w14:textId="77777777" w:rsidR="00B80195" w:rsidRPr="002925F6"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método de depreciación, la vida útil y de los valores residuales son revisados en forma anual y ajustada en su caso.</w:t>
      </w:r>
    </w:p>
    <w:p w14:paraId="1D180AF5" w14:textId="77777777" w:rsidR="00B80195" w:rsidRPr="0050759F" w:rsidRDefault="00B80195" w:rsidP="00B80195">
      <w:pPr>
        <w:ind w:left="709"/>
        <w:rPr>
          <w:rFonts w:ascii="Arial" w:hAnsi="Arial" w:cs="Arial"/>
          <w:b/>
          <w:sz w:val="20"/>
          <w:szCs w:val="20"/>
          <w:u w:val="single"/>
          <w:lang w:eastAsia="es-EC"/>
        </w:rPr>
      </w:pPr>
    </w:p>
    <w:p w14:paraId="3E691852" w14:textId="77777777" w:rsidR="00B80195" w:rsidRPr="004D5031" w:rsidRDefault="00B80195" w:rsidP="00B80195">
      <w:pPr>
        <w:ind w:left="709"/>
        <w:rPr>
          <w:rFonts w:ascii="Arial" w:hAnsi="Arial" w:cs="Arial"/>
          <w:b/>
          <w:sz w:val="20"/>
          <w:szCs w:val="20"/>
          <w:u w:val="single"/>
          <w:lang w:eastAsia="es-EC"/>
        </w:rPr>
      </w:pPr>
      <w:r w:rsidRPr="004D5031">
        <w:rPr>
          <w:rFonts w:ascii="Arial" w:hAnsi="Arial" w:cs="Arial"/>
          <w:b/>
          <w:sz w:val="20"/>
          <w:szCs w:val="20"/>
          <w:u w:val="single"/>
          <w:lang w:eastAsia="es-EC"/>
        </w:rPr>
        <w:t>Retiro y venta</w:t>
      </w:r>
    </w:p>
    <w:p w14:paraId="60D6C7EC" w14:textId="77777777" w:rsidR="00B80195" w:rsidRPr="0050759F" w:rsidRDefault="00B80195" w:rsidP="00B80195">
      <w:pPr>
        <w:ind w:left="709"/>
        <w:rPr>
          <w:rFonts w:ascii="Arial" w:hAnsi="Arial" w:cs="Arial"/>
          <w:sz w:val="20"/>
          <w:szCs w:val="20"/>
          <w:lang w:eastAsia="es-EC"/>
        </w:rPr>
      </w:pPr>
    </w:p>
    <w:p w14:paraId="2AC0832D" w14:textId="16C63DC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y la depreciación acumulada de</w:t>
      </w:r>
      <w:r>
        <w:rPr>
          <w:rFonts w:ascii="Arial" w:hAnsi="Arial" w:cs="Arial"/>
          <w:sz w:val="20"/>
          <w:szCs w:val="20"/>
          <w:lang w:eastAsia="es-EC"/>
        </w:rPr>
        <w:t>l mobiliario</w:t>
      </w:r>
      <w:r w:rsidR="00CB6667">
        <w:rPr>
          <w:rFonts w:ascii="Arial" w:hAnsi="Arial" w:cs="Arial"/>
          <w:sz w:val="20"/>
          <w:szCs w:val="20"/>
          <w:lang w:eastAsia="es-EC"/>
        </w:rPr>
        <w:t xml:space="preserve"> y </w:t>
      </w:r>
      <w:r>
        <w:rPr>
          <w:rFonts w:ascii="Arial" w:hAnsi="Arial" w:cs="Arial"/>
          <w:sz w:val="20"/>
          <w:szCs w:val="20"/>
          <w:lang w:eastAsia="es-EC"/>
        </w:rPr>
        <w:t xml:space="preserve">vehículos </w:t>
      </w:r>
      <w:r w:rsidRPr="0050759F">
        <w:rPr>
          <w:rFonts w:ascii="Arial" w:hAnsi="Arial" w:cs="Arial"/>
          <w:sz w:val="20"/>
          <w:szCs w:val="20"/>
          <w:lang w:eastAsia="es-EC"/>
        </w:rPr>
        <w:t>retirados se reducen de las cuentas respectivas y la diferencia se reconoce en los resultados del ejercicio en el cual se origina la transacción.</w:t>
      </w:r>
    </w:p>
    <w:p w14:paraId="3675120A" w14:textId="77777777" w:rsidR="00B80195" w:rsidRPr="0050759F" w:rsidRDefault="00B80195" w:rsidP="00B80195">
      <w:pPr>
        <w:ind w:left="709"/>
        <w:jc w:val="both"/>
        <w:rPr>
          <w:rFonts w:ascii="Arial" w:hAnsi="Arial" w:cs="Arial"/>
          <w:sz w:val="20"/>
          <w:szCs w:val="20"/>
          <w:lang w:eastAsia="es-EC"/>
        </w:rPr>
      </w:pPr>
    </w:p>
    <w:p w14:paraId="4441E86B" w14:textId="77777777"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Cuando el valor en libros de un activo fijo excede a su monto recuperable, este es reducido inmediatamente hasta su valor recuperable. </w:t>
      </w:r>
    </w:p>
    <w:p w14:paraId="14EEC8AA" w14:textId="77777777" w:rsidR="00DC1CD8" w:rsidRDefault="00DC1CD8" w:rsidP="00B80195">
      <w:pPr>
        <w:ind w:left="709"/>
        <w:jc w:val="both"/>
        <w:rPr>
          <w:rFonts w:ascii="Arial" w:hAnsi="Arial" w:cs="Arial"/>
          <w:sz w:val="20"/>
          <w:szCs w:val="20"/>
          <w:lang w:eastAsia="es-EC"/>
        </w:rPr>
      </w:pPr>
    </w:p>
    <w:p w14:paraId="2794E259" w14:textId="77777777" w:rsidR="00B80195" w:rsidRPr="00FB760E" w:rsidRDefault="00B80195" w:rsidP="00161D0E">
      <w:pPr>
        <w:pStyle w:val="Prrafodelista"/>
        <w:numPr>
          <w:ilvl w:val="0"/>
          <w:numId w:val="25"/>
        </w:numPr>
        <w:tabs>
          <w:tab w:val="left" w:pos="709"/>
        </w:tabs>
        <w:spacing w:before="0" w:after="0"/>
        <w:ind w:left="0" w:firstLine="0"/>
        <w:rPr>
          <w:rFonts w:ascii="Arial" w:hAnsi="Arial" w:cs="Arial"/>
          <w:b/>
          <w:bCs/>
          <w:snapToGrid w:val="0"/>
          <w:sz w:val="20"/>
          <w:szCs w:val="20"/>
          <w:lang w:eastAsia="en-US"/>
        </w:rPr>
      </w:pPr>
      <w:r w:rsidRPr="00FB760E">
        <w:rPr>
          <w:rFonts w:ascii="Arial" w:hAnsi="Arial" w:cs="Arial"/>
          <w:b/>
          <w:bCs/>
          <w:snapToGrid w:val="0"/>
          <w:sz w:val="20"/>
          <w:szCs w:val="20"/>
          <w:lang w:eastAsia="en-US"/>
        </w:rPr>
        <w:t>Arrendamientos</w:t>
      </w:r>
    </w:p>
    <w:p w14:paraId="15BC39D7" w14:textId="77777777" w:rsidR="00DC1CD8" w:rsidRDefault="00B80195" w:rsidP="00DC1CD8">
      <w:pPr>
        <w:pStyle w:val="Prrafodelista"/>
        <w:tabs>
          <w:tab w:val="left" w:pos="709"/>
        </w:tabs>
        <w:spacing w:before="0" w:after="0"/>
        <w:ind w:left="708"/>
        <w:rPr>
          <w:rFonts w:ascii="Arial" w:hAnsi="Arial" w:cs="Arial"/>
          <w:b/>
          <w:bCs/>
          <w:snapToGrid w:val="0"/>
          <w:sz w:val="20"/>
          <w:szCs w:val="20"/>
          <w:lang w:eastAsia="en-US"/>
        </w:rPr>
      </w:pPr>
      <w:r w:rsidRPr="00FB760E">
        <w:rPr>
          <w:rFonts w:ascii="Arial" w:hAnsi="Arial" w:cs="Arial"/>
          <w:b/>
          <w:bCs/>
          <w:snapToGrid w:val="0"/>
          <w:sz w:val="20"/>
          <w:szCs w:val="20"/>
          <w:lang w:eastAsia="en-US"/>
        </w:rPr>
        <w:tab/>
      </w:r>
    </w:p>
    <w:p w14:paraId="7103A7D9" w14:textId="77777777" w:rsidR="00B80195" w:rsidRPr="000F3133" w:rsidRDefault="00B80195" w:rsidP="00DC1CD8">
      <w:pPr>
        <w:pStyle w:val="Prrafodelista"/>
        <w:tabs>
          <w:tab w:val="left" w:pos="709"/>
        </w:tabs>
        <w:spacing w:before="0" w:after="0"/>
        <w:ind w:left="708"/>
        <w:rPr>
          <w:rFonts w:ascii="Arial" w:hAnsi="Arial" w:cs="Arial"/>
          <w:sz w:val="20"/>
          <w:szCs w:val="20"/>
        </w:rPr>
      </w:pPr>
      <w:r w:rsidRPr="000F3133">
        <w:rPr>
          <w:rFonts w:ascii="Arial" w:hAnsi="Arial" w:cs="Arial"/>
          <w:sz w:val="20"/>
          <w:szCs w:val="20"/>
        </w:rPr>
        <w:t>Un arrendamiento se clasific</w:t>
      </w:r>
      <w:r>
        <w:rPr>
          <w:rFonts w:ascii="Arial" w:hAnsi="Arial" w:cs="Arial"/>
          <w:sz w:val="20"/>
          <w:szCs w:val="20"/>
        </w:rPr>
        <w:t xml:space="preserve">a en la fecha de inicio como </w:t>
      </w:r>
      <w:r w:rsidRPr="000F3133">
        <w:rPr>
          <w:rFonts w:ascii="Arial" w:hAnsi="Arial" w:cs="Arial"/>
          <w:sz w:val="20"/>
          <w:szCs w:val="20"/>
        </w:rPr>
        <w:t>arrendamiento financiero o un arrendamiento operativo. Un arrendamiento que transfiere sustancialmente todos los riesgos y ventajas inhe</w:t>
      </w:r>
      <w:r>
        <w:rPr>
          <w:rFonts w:ascii="Arial" w:hAnsi="Arial" w:cs="Arial"/>
          <w:sz w:val="20"/>
          <w:szCs w:val="20"/>
        </w:rPr>
        <w:t xml:space="preserve">rentes a la propiedad </w:t>
      </w:r>
      <w:r w:rsidRPr="000F3133">
        <w:rPr>
          <w:rFonts w:ascii="Arial" w:hAnsi="Arial" w:cs="Arial"/>
          <w:sz w:val="20"/>
          <w:szCs w:val="20"/>
        </w:rPr>
        <w:t>se clasifica como un arrendamiento financiero.</w:t>
      </w:r>
    </w:p>
    <w:p w14:paraId="344B1942" w14:textId="77777777" w:rsidR="00B80195" w:rsidRPr="000F3133" w:rsidRDefault="00B80195" w:rsidP="00B80195">
      <w:pPr>
        <w:tabs>
          <w:tab w:val="left" w:pos="709"/>
        </w:tabs>
        <w:ind w:left="709"/>
        <w:jc w:val="both"/>
        <w:rPr>
          <w:rFonts w:ascii="Arial" w:hAnsi="Arial" w:cs="Arial"/>
          <w:sz w:val="20"/>
          <w:szCs w:val="20"/>
        </w:rPr>
      </w:pPr>
    </w:p>
    <w:p w14:paraId="4014C255" w14:textId="77777777" w:rsidR="00B80195" w:rsidRPr="000F3133" w:rsidRDefault="00B80195" w:rsidP="00B80195">
      <w:pPr>
        <w:tabs>
          <w:tab w:val="left" w:pos="709"/>
        </w:tabs>
        <w:ind w:left="709"/>
        <w:jc w:val="both"/>
        <w:rPr>
          <w:rFonts w:ascii="Arial" w:hAnsi="Arial" w:cs="Arial"/>
          <w:sz w:val="20"/>
          <w:szCs w:val="20"/>
        </w:rPr>
      </w:pPr>
      <w:r w:rsidRPr="000F3133">
        <w:rPr>
          <w:rFonts w:ascii="Arial" w:hAnsi="Arial" w:cs="Arial"/>
          <w:sz w:val="20"/>
          <w:szCs w:val="20"/>
        </w:rPr>
        <w:t>Los arrendamientos financieros se capitalizan al inicio del arrendamiento al valor razonable a la fecha de inicio de la propiedad arrendada o, si es menor, al valor presente de los pagos mínimos del arrendamiento. Los pagos de arrendamiento se prorratean entre los cargos financieros y la reducción del pasivo por arrendamiento a fin de lograr una tasa de interés constante sobre el saldo restante del pasivo. Los cargos financieros se reconocen en los costos financieros en el estado de resultados. Un activo arrendado se deprecia a lo largo de la vida útil del activo. Sin embargo, si no existe una certeza razonable de que la Compañía no obtendrá la propiedad al final del plazo del arrendamiento, el activo se depreciará a lo largo de la vida útil estimada más corta del activo y el plazo del arrendamiento.</w:t>
      </w:r>
    </w:p>
    <w:p w14:paraId="77700A0C" w14:textId="77777777" w:rsidR="00D22974" w:rsidRDefault="00D22974" w:rsidP="00B80195">
      <w:pPr>
        <w:ind w:left="709"/>
        <w:jc w:val="both"/>
        <w:rPr>
          <w:rFonts w:ascii="Arial" w:hAnsi="Arial" w:cs="Arial"/>
          <w:sz w:val="20"/>
          <w:szCs w:val="20"/>
        </w:rPr>
      </w:pPr>
    </w:p>
    <w:p w14:paraId="203E6007" w14:textId="77777777" w:rsidR="00B80195" w:rsidRPr="000F3133" w:rsidRDefault="00B80195" w:rsidP="00B80195">
      <w:pPr>
        <w:ind w:left="709"/>
        <w:jc w:val="both"/>
        <w:rPr>
          <w:rFonts w:ascii="Arial" w:hAnsi="Arial" w:cs="Arial"/>
          <w:sz w:val="20"/>
          <w:szCs w:val="20"/>
        </w:rPr>
      </w:pPr>
      <w:r w:rsidRPr="000F3133">
        <w:rPr>
          <w:rFonts w:ascii="Arial" w:hAnsi="Arial" w:cs="Arial"/>
          <w:sz w:val="20"/>
          <w:szCs w:val="20"/>
        </w:rPr>
        <w:t xml:space="preserve">Un arrendamiento operativo es un arrendamiento que no es un arrendamiento financiero. Los pagos de arrendamiento operativo se reconocen como un gasto operativo en el estado de ganancias o pérdidas en forma lineal durante el plazo del arrendamiento. </w:t>
      </w:r>
    </w:p>
    <w:p w14:paraId="13F6B527" w14:textId="77777777" w:rsidR="00B80195" w:rsidRPr="0050759F" w:rsidRDefault="00B80195" w:rsidP="00B80195">
      <w:pPr>
        <w:jc w:val="both"/>
        <w:rPr>
          <w:rFonts w:ascii="Arial" w:hAnsi="Arial" w:cs="Arial"/>
          <w:sz w:val="20"/>
          <w:szCs w:val="20"/>
          <w:lang w:eastAsia="es-EC"/>
        </w:rPr>
      </w:pPr>
    </w:p>
    <w:p w14:paraId="7A904D04" w14:textId="77777777" w:rsidR="00B80195" w:rsidRPr="0050759F" w:rsidRDefault="00B80195" w:rsidP="00161D0E">
      <w:pPr>
        <w:numPr>
          <w:ilvl w:val="0"/>
          <w:numId w:val="5"/>
        </w:numPr>
        <w:ind w:left="709" w:hanging="709"/>
        <w:jc w:val="both"/>
        <w:rPr>
          <w:rFonts w:ascii="Arial" w:hAnsi="Arial" w:cs="Arial"/>
          <w:sz w:val="20"/>
          <w:szCs w:val="20"/>
        </w:rPr>
      </w:pPr>
      <w:r w:rsidRPr="0050759F">
        <w:rPr>
          <w:rFonts w:ascii="Arial" w:hAnsi="Arial" w:cs="Arial"/>
          <w:b/>
          <w:bCs/>
          <w:snapToGrid w:val="0"/>
          <w:sz w:val="20"/>
          <w:szCs w:val="20"/>
          <w:lang w:eastAsia="en-US"/>
        </w:rPr>
        <w:t xml:space="preserve">Reconocimiento de ingresos </w:t>
      </w:r>
    </w:p>
    <w:p w14:paraId="0CE786F8" w14:textId="77777777" w:rsidR="00B80195" w:rsidRPr="0050759F" w:rsidRDefault="00B80195" w:rsidP="00B80195">
      <w:pPr>
        <w:tabs>
          <w:tab w:val="num" w:pos="567"/>
        </w:tabs>
        <w:ind w:left="709"/>
        <w:jc w:val="both"/>
        <w:rPr>
          <w:rFonts w:ascii="Arial" w:hAnsi="Arial" w:cs="Arial"/>
          <w:sz w:val="20"/>
          <w:szCs w:val="20"/>
        </w:rPr>
      </w:pPr>
    </w:p>
    <w:p w14:paraId="29319CF4"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 Compañía reconocerá los ingresos de actividades ordinarias  procedentes de la venta de bienes cuando se satisfagan todas y cada una de las siguientes condiciones: (i) la entidad ha transferido al comprador los riesgos y ventajas, de tipo significativo; (</w:t>
      </w:r>
      <w:proofErr w:type="spellStart"/>
      <w:r w:rsidRPr="0050759F">
        <w:rPr>
          <w:rFonts w:ascii="Arial" w:hAnsi="Arial" w:cs="Arial"/>
          <w:sz w:val="20"/>
          <w:szCs w:val="20"/>
          <w:lang w:eastAsia="es-EC"/>
        </w:rPr>
        <w:t>ii</w:t>
      </w:r>
      <w:proofErr w:type="spellEnd"/>
      <w:r w:rsidRPr="0050759F">
        <w:rPr>
          <w:rFonts w:ascii="Arial" w:hAnsi="Arial" w:cs="Arial"/>
          <w:sz w:val="20"/>
          <w:szCs w:val="20"/>
          <w:lang w:eastAsia="es-EC"/>
        </w:rPr>
        <w:t xml:space="preserve">) no conserva para su ninguna implicación en la gestión corriente de los bienes vendidos, en el grado usualmente asociado con la propiedad, ni retiene le control efectivo sobre </w:t>
      </w:r>
      <w:r>
        <w:rPr>
          <w:rFonts w:ascii="Arial" w:hAnsi="Arial" w:cs="Arial"/>
          <w:sz w:val="20"/>
          <w:szCs w:val="20"/>
          <w:lang w:eastAsia="es-EC"/>
        </w:rPr>
        <w:t>los mismos; (</w:t>
      </w:r>
      <w:proofErr w:type="spellStart"/>
      <w:r>
        <w:rPr>
          <w:rFonts w:ascii="Arial" w:hAnsi="Arial" w:cs="Arial"/>
          <w:sz w:val="20"/>
          <w:szCs w:val="20"/>
          <w:lang w:eastAsia="es-EC"/>
        </w:rPr>
        <w:t>iii</w:t>
      </w:r>
      <w:proofErr w:type="spellEnd"/>
      <w:r>
        <w:rPr>
          <w:rFonts w:ascii="Arial" w:hAnsi="Arial" w:cs="Arial"/>
          <w:sz w:val="20"/>
          <w:szCs w:val="20"/>
          <w:lang w:eastAsia="es-EC"/>
        </w:rPr>
        <w:t>) el importe pue</w:t>
      </w:r>
      <w:r w:rsidRPr="0050759F">
        <w:rPr>
          <w:rFonts w:ascii="Arial" w:hAnsi="Arial" w:cs="Arial"/>
          <w:sz w:val="20"/>
          <w:szCs w:val="20"/>
          <w:lang w:eastAsia="es-EC"/>
        </w:rPr>
        <w:t>de medirse fiabilidad; (</w:t>
      </w:r>
      <w:proofErr w:type="spellStart"/>
      <w:r w:rsidRPr="0050759F">
        <w:rPr>
          <w:rFonts w:ascii="Arial" w:hAnsi="Arial" w:cs="Arial"/>
          <w:sz w:val="20"/>
          <w:szCs w:val="20"/>
          <w:lang w:eastAsia="es-EC"/>
        </w:rPr>
        <w:t>iv</w:t>
      </w:r>
      <w:proofErr w:type="spellEnd"/>
      <w:r w:rsidRPr="0050759F">
        <w:rPr>
          <w:rFonts w:ascii="Arial" w:hAnsi="Arial" w:cs="Arial"/>
          <w:sz w:val="20"/>
          <w:szCs w:val="20"/>
          <w:lang w:eastAsia="es-EC"/>
        </w:rPr>
        <w:t>) sea probable que la entidad obtenga beneficios económicos asociados con la transacción</w:t>
      </w:r>
      <w:r>
        <w:rPr>
          <w:rFonts w:ascii="Arial" w:hAnsi="Arial" w:cs="Arial"/>
          <w:sz w:val="20"/>
          <w:szCs w:val="20"/>
          <w:lang w:eastAsia="es-EC"/>
        </w:rPr>
        <w:t>;</w:t>
      </w:r>
      <w:r w:rsidRPr="0050759F">
        <w:rPr>
          <w:rFonts w:ascii="Arial" w:hAnsi="Arial" w:cs="Arial"/>
          <w:sz w:val="20"/>
          <w:szCs w:val="20"/>
          <w:lang w:eastAsia="es-EC"/>
        </w:rPr>
        <w:t xml:space="preserve"> y</w:t>
      </w:r>
      <w:r>
        <w:rPr>
          <w:rFonts w:ascii="Arial" w:hAnsi="Arial" w:cs="Arial"/>
          <w:sz w:val="20"/>
          <w:szCs w:val="20"/>
          <w:lang w:eastAsia="es-EC"/>
        </w:rPr>
        <w:t>,</w:t>
      </w:r>
      <w:r w:rsidRPr="0050759F">
        <w:rPr>
          <w:rFonts w:ascii="Arial" w:hAnsi="Arial" w:cs="Arial"/>
          <w:sz w:val="20"/>
          <w:szCs w:val="20"/>
          <w:lang w:eastAsia="es-EC"/>
        </w:rPr>
        <w:t xml:space="preserve"> (v) los costos incurridos, o por incurrir, en relación con la transacción pueden ser medidos  o por incurrir, en relación con la transacción pueden ser medidos con fiabilidad.</w:t>
      </w:r>
    </w:p>
    <w:p w14:paraId="6F5F13B4" w14:textId="77777777" w:rsidR="00B80195" w:rsidRPr="0050759F" w:rsidRDefault="00B80195" w:rsidP="00B80195">
      <w:pPr>
        <w:ind w:left="709"/>
        <w:jc w:val="both"/>
        <w:rPr>
          <w:rFonts w:ascii="Arial" w:hAnsi="Arial" w:cs="Arial"/>
          <w:sz w:val="20"/>
          <w:szCs w:val="20"/>
          <w:lang w:eastAsia="es-EC"/>
        </w:rPr>
      </w:pPr>
    </w:p>
    <w:p w14:paraId="2D83E324" w14:textId="77777777" w:rsidR="00B80195" w:rsidRPr="0050759F" w:rsidRDefault="00B80195" w:rsidP="00B80195">
      <w:pPr>
        <w:tabs>
          <w:tab w:val="left" w:pos="1134"/>
        </w:tabs>
        <w:ind w:left="709"/>
        <w:jc w:val="both"/>
        <w:rPr>
          <w:rFonts w:ascii="Arial" w:hAnsi="Arial" w:cs="Arial"/>
          <w:sz w:val="20"/>
          <w:szCs w:val="20"/>
          <w:lang w:eastAsia="es-EC"/>
        </w:rPr>
      </w:pPr>
      <w:r w:rsidRPr="0050759F">
        <w:rPr>
          <w:rFonts w:ascii="Arial" w:hAnsi="Arial" w:cs="Arial"/>
          <w:sz w:val="20"/>
          <w:szCs w:val="20"/>
          <w:lang w:eastAsia="es-EC"/>
        </w:rPr>
        <w:lastRenderedPageBreak/>
        <w:t>Los ingresos por servicios se reconocen en los resultados en base al avance o progreso de los servicios prestados a la fecha del balance y no existen importantes incertidumbres con respecto a la recuperación de los importes adeudados.</w:t>
      </w:r>
    </w:p>
    <w:p w14:paraId="37ADB492" w14:textId="77777777" w:rsidR="00B80195" w:rsidRPr="0050759F" w:rsidRDefault="00B80195" w:rsidP="00B80195">
      <w:pPr>
        <w:ind w:left="567"/>
        <w:jc w:val="both"/>
        <w:rPr>
          <w:rFonts w:ascii="Arial" w:hAnsi="Arial" w:cs="Arial"/>
          <w:sz w:val="20"/>
          <w:szCs w:val="20"/>
          <w:lang w:eastAsia="es-EC"/>
        </w:rPr>
      </w:pPr>
    </w:p>
    <w:p w14:paraId="1DF50C60"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Deterioro en el valor de activos no corrientes</w:t>
      </w:r>
    </w:p>
    <w:p w14:paraId="5CE86F5A" w14:textId="77777777" w:rsidR="00B80195" w:rsidRPr="0050759F" w:rsidRDefault="00B80195" w:rsidP="00B80195">
      <w:pPr>
        <w:ind w:left="709" w:hanging="709"/>
        <w:jc w:val="both"/>
        <w:rPr>
          <w:rFonts w:ascii="Arial" w:hAnsi="Arial" w:cs="Arial"/>
          <w:sz w:val="20"/>
          <w:szCs w:val="20"/>
          <w:lang w:eastAsia="es-EC"/>
        </w:rPr>
      </w:pPr>
    </w:p>
    <w:p w14:paraId="5C04BD8A" w14:textId="4E3CBDC1"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 xml:space="preserve">Los activos no financieros de larga vida </w:t>
      </w:r>
      <w:r>
        <w:rPr>
          <w:sz w:val="20"/>
          <w:szCs w:val="20"/>
        </w:rPr>
        <w:t>(</w:t>
      </w:r>
      <w:r w:rsidRPr="0050759F">
        <w:rPr>
          <w:sz w:val="20"/>
          <w:szCs w:val="20"/>
        </w:rPr>
        <w:t>edificios, maquinaria, equipos, etc.) son revisados por deterioro al cierre de los estados financieros, cuando existen eventos o cambios en las circunstancias que indican que el valor en libros podría no ser recuperable. La pérdida por deterioro en el valor en libros de los activos de larga vida existe cuando este excede su importe recuperable. El valor en uso de los activos no financieros de larga vida se calcula inicialmente mediante la suma de los flujos de caja descontados que se esperan obtener como resultado de la utilización del activo. Para los efectos de evaluación del deterioro, los activos se agrupan en los niveles más bajos para los cuales existen flujos de caja identificables por separado (unidades generadoras de efectivo).</w:t>
      </w:r>
    </w:p>
    <w:p w14:paraId="3CE83BE9" w14:textId="77777777" w:rsidR="00B80195" w:rsidRPr="0050759F" w:rsidRDefault="00B80195" w:rsidP="00B80195">
      <w:pPr>
        <w:pStyle w:val="Cuerpodeltexto20"/>
        <w:shd w:val="clear" w:color="auto" w:fill="auto"/>
        <w:spacing w:line="240" w:lineRule="auto"/>
        <w:ind w:left="709" w:firstLine="0"/>
        <w:jc w:val="both"/>
        <w:rPr>
          <w:sz w:val="20"/>
          <w:szCs w:val="20"/>
        </w:rPr>
      </w:pPr>
    </w:p>
    <w:p w14:paraId="344F3F40" w14:textId="77777777"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El importe recuperable es el mayor valor entre el valor razonable menos los costos de venta y el valor de uso. Al evaluar el valor de uso, los flujos de efectivo futuros se descuentan a su valor actual utilizando una tasa de descuento que refleje el costo medio ponderado del capital calculado conforme al riesgo asociado al país en el que opera la Compañía.</w:t>
      </w:r>
    </w:p>
    <w:p w14:paraId="57B97611" w14:textId="77777777" w:rsidR="007E74A5" w:rsidRPr="0050759F" w:rsidRDefault="007E74A5" w:rsidP="00B80195">
      <w:pPr>
        <w:pStyle w:val="Cuerpodeltexto20"/>
        <w:shd w:val="clear" w:color="auto" w:fill="auto"/>
        <w:spacing w:line="240" w:lineRule="auto"/>
        <w:ind w:left="709" w:firstLine="0"/>
        <w:jc w:val="both"/>
        <w:rPr>
          <w:sz w:val="20"/>
          <w:szCs w:val="20"/>
        </w:rPr>
      </w:pPr>
    </w:p>
    <w:p w14:paraId="00F34CDC" w14:textId="77777777"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En el evento de que el valor recuperable de un activo (o una unidad generadora de efectivo) es inferior a su valor en libros del activo (o de la unidad generadora de efectivo) este se reduce a su valor recuperable, y una pérdida por deterioro se reconoce en el estado de resultados integrales.</w:t>
      </w:r>
    </w:p>
    <w:p w14:paraId="10D84FDE" w14:textId="77777777" w:rsidR="00B80195" w:rsidRPr="0050759F" w:rsidRDefault="00B80195" w:rsidP="00B80195">
      <w:pPr>
        <w:pStyle w:val="Cuerpodeltexto20"/>
        <w:shd w:val="clear" w:color="auto" w:fill="auto"/>
        <w:spacing w:line="240" w:lineRule="auto"/>
        <w:ind w:left="709" w:firstLine="0"/>
        <w:jc w:val="both"/>
        <w:rPr>
          <w:sz w:val="20"/>
          <w:szCs w:val="20"/>
        </w:rPr>
      </w:pPr>
    </w:p>
    <w:p w14:paraId="557CB71D" w14:textId="77777777"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La base para la depreciación o amortización futura de los activos deteriorados debe tener en cuenta la reducción en el valor del activo como consecuencia de las pérdidas por deterioro acumuladas.</w:t>
      </w:r>
    </w:p>
    <w:p w14:paraId="2C89B31C" w14:textId="77777777" w:rsidR="00B80195" w:rsidRPr="0050759F" w:rsidRDefault="00B80195" w:rsidP="00B80195">
      <w:pPr>
        <w:pStyle w:val="Cuerpodeltexto20"/>
        <w:shd w:val="clear" w:color="auto" w:fill="auto"/>
        <w:spacing w:line="240" w:lineRule="auto"/>
        <w:ind w:left="709" w:firstLine="0"/>
        <w:jc w:val="both"/>
        <w:rPr>
          <w:sz w:val="20"/>
          <w:szCs w:val="20"/>
        </w:rPr>
      </w:pPr>
    </w:p>
    <w:p w14:paraId="39A8F39E" w14:textId="77777777" w:rsidR="00B80195" w:rsidRPr="0050759F" w:rsidRDefault="00B80195" w:rsidP="00DC1CD8">
      <w:pPr>
        <w:pStyle w:val="Cuerpodeltexto20"/>
        <w:shd w:val="clear" w:color="auto" w:fill="auto"/>
        <w:spacing w:line="240" w:lineRule="auto"/>
        <w:ind w:left="709" w:firstLine="0"/>
        <w:jc w:val="both"/>
        <w:rPr>
          <w:sz w:val="20"/>
          <w:szCs w:val="20"/>
        </w:rPr>
      </w:pPr>
      <w:r w:rsidRPr="0050759F">
        <w:rPr>
          <w:sz w:val="20"/>
          <w:szCs w:val="20"/>
        </w:rPr>
        <w:t>Cuando una pérdida por deterioro debe ser revertida en forma posterior, el valor en libros del activo (o de la unidad generadora de efectivo) se incrementa a la estimación revisada de su valor recuperable y el valor en libros no supera el valor en libros cuando se determinó la pérdida por deterioro para el activo (o de la unidad generadora de efectivo) en ejercicios anteriores, En caso de existir, la reversión de una pérdida por deterioro se reconoce en el estado de resultados integrales.</w:t>
      </w:r>
    </w:p>
    <w:p w14:paraId="2196C1F4" w14:textId="77777777" w:rsidR="00B80195" w:rsidRPr="0050759F" w:rsidRDefault="00B80195" w:rsidP="00B80195">
      <w:pPr>
        <w:pStyle w:val="Cuerpodeltexto20"/>
        <w:shd w:val="clear" w:color="auto" w:fill="auto"/>
        <w:spacing w:line="240" w:lineRule="auto"/>
        <w:ind w:left="709" w:firstLine="0"/>
        <w:jc w:val="both"/>
        <w:rPr>
          <w:sz w:val="20"/>
          <w:szCs w:val="20"/>
        </w:rPr>
      </w:pPr>
    </w:p>
    <w:p w14:paraId="2F9B610B" w14:textId="77777777"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Los activos no financieros que han sufrido deterioro se revisan para su posible reversión de deterioro en cada periodo sobre el que se informa.</w:t>
      </w:r>
    </w:p>
    <w:p w14:paraId="76E6ADB2" w14:textId="77777777" w:rsidR="00B80195" w:rsidRPr="0050759F" w:rsidRDefault="00B80195" w:rsidP="00B80195">
      <w:pPr>
        <w:ind w:left="709"/>
        <w:jc w:val="both"/>
        <w:rPr>
          <w:rFonts w:ascii="Arial" w:hAnsi="Arial" w:cs="Arial"/>
          <w:sz w:val="20"/>
          <w:szCs w:val="20"/>
          <w:lang w:val="es-EC" w:eastAsia="es-EC"/>
        </w:rPr>
      </w:pPr>
    </w:p>
    <w:p w14:paraId="0AA2898B" w14:textId="77777777"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Las tasas de descuento utilizadas se determinan antes de impuestos y son ajustados por el riesgo país y riesgo de negocio correspondiente. </w:t>
      </w:r>
    </w:p>
    <w:p w14:paraId="188340FC" w14:textId="77777777" w:rsidR="00B80195" w:rsidRPr="0050759F" w:rsidRDefault="00B80195" w:rsidP="00B80195">
      <w:pPr>
        <w:ind w:left="709"/>
        <w:jc w:val="both"/>
        <w:rPr>
          <w:rFonts w:ascii="Arial" w:hAnsi="Arial" w:cs="Arial"/>
          <w:sz w:val="20"/>
          <w:szCs w:val="20"/>
          <w:lang w:eastAsia="es-EC"/>
        </w:rPr>
      </w:pPr>
    </w:p>
    <w:p w14:paraId="7E60D2D1" w14:textId="7F6F8CAE" w:rsidR="00B80195" w:rsidRPr="0050759F" w:rsidRDefault="00DC1CD8" w:rsidP="00B80195">
      <w:pPr>
        <w:ind w:left="709"/>
        <w:jc w:val="both"/>
        <w:rPr>
          <w:rFonts w:ascii="Arial" w:hAnsi="Arial" w:cs="Arial"/>
          <w:sz w:val="20"/>
          <w:szCs w:val="20"/>
          <w:lang w:eastAsia="es-EC"/>
        </w:rPr>
      </w:pPr>
      <w:r>
        <w:rPr>
          <w:rFonts w:ascii="Arial" w:hAnsi="Arial" w:cs="Arial"/>
          <w:sz w:val="20"/>
          <w:szCs w:val="20"/>
          <w:lang w:eastAsia="es-EC"/>
        </w:rPr>
        <w:t xml:space="preserve">En los ejercicios </w:t>
      </w:r>
      <w:r w:rsidR="00C03AB5">
        <w:rPr>
          <w:rFonts w:ascii="Arial" w:hAnsi="Arial" w:cs="Arial"/>
          <w:sz w:val="20"/>
          <w:szCs w:val="20"/>
          <w:lang w:eastAsia="es-EC"/>
        </w:rPr>
        <w:t>2024</w:t>
      </w:r>
      <w:r w:rsidR="00F01F91">
        <w:rPr>
          <w:rFonts w:ascii="Arial" w:hAnsi="Arial" w:cs="Arial"/>
          <w:sz w:val="20"/>
          <w:szCs w:val="20"/>
          <w:lang w:eastAsia="es-EC"/>
        </w:rPr>
        <w:t xml:space="preserve"> y</w:t>
      </w:r>
      <w:r>
        <w:rPr>
          <w:rFonts w:ascii="Arial" w:hAnsi="Arial" w:cs="Arial"/>
          <w:sz w:val="20"/>
          <w:szCs w:val="20"/>
          <w:lang w:eastAsia="es-EC"/>
        </w:rPr>
        <w:t xml:space="preserve"> </w:t>
      </w:r>
      <w:r w:rsidR="00C03AB5">
        <w:rPr>
          <w:rFonts w:ascii="Arial" w:hAnsi="Arial" w:cs="Arial"/>
          <w:sz w:val="20"/>
          <w:szCs w:val="20"/>
          <w:lang w:eastAsia="es-EC"/>
        </w:rPr>
        <w:t>2023</w:t>
      </w:r>
      <w:r w:rsidR="00B80195" w:rsidRPr="0050759F">
        <w:rPr>
          <w:rFonts w:ascii="Arial" w:hAnsi="Arial" w:cs="Arial"/>
          <w:sz w:val="20"/>
          <w:szCs w:val="20"/>
          <w:lang w:eastAsia="es-EC"/>
        </w:rPr>
        <w:t xml:space="preserve"> no han existido indicios de deterioro de los activos.</w:t>
      </w:r>
    </w:p>
    <w:p w14:paraId="6384A2DF" w14:textId="77777777" w:rsidR="00B80195" w:rsidRPr="0050759F" w:rsidRDefault="00B80195" w:rsidP="00B80195">
      <w:pPr>
        <w:ind w:left="567"/>
        <w:jc w:val="both"/>
        <w:rPr>
          <w:rFonts w:ascii="Arial" w:hAnsi="Arial" w:cs="Arial"/>
          <w:sz w:val="20"/>
          <w:szCs w:val="20"/>
          <w:lang w:eastAsia="es-EC"/>
        </w:rPr>
      </w:pPr>
    </w:p>
    <w:p w14:paraId="72692418"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Obligaciones por beneficios post empleo</w:t>
      </w:r>
    </w:p>
    <w:p w14:paraId="469A99D0" w14:textId="77777777" w:rsidR="00B80195" w:rsidRPr="0050759F" w:rsidRDefault="00B80195" w:rsidP="00B80195">
      <w:pPr>
        <w:ind w:left="709" w:hanging="709"/>
        <w:jc w:val="both"/>
        <w:rPr>
          <w:rFonts w:ascii="Arial" w:hAnsi="Arial" w:cs="Arial"/>
          <w:bCs/>
          <w:snapToGrid w:val="0"/>
          <w:sz w:val="20"/>
          <w:szCs w:val="20"/>
          <w:lang w:eastAsia="en-US"/>
        </w:rPr>
      </w:pPr>
    </w:p>
    <w:p w14:paraId="340BAC63"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Las obligaciones por beneficios post empleo constituyen provisiones de corto plazo, planes de beneficio definidos y beneficios por terminación anticipada.</w:t>
      </w:r>
    </w:p>
    <w:p w14:paraId="3EE1140D" w14:textId="77777777" w:rsidR="00B80195" w:rsidRPr="0050759F" w:rsidRDefault="00B80195" w:rsidP="00B80195">
      <w:pPr>
        <w:ind w:left="709"/>
        <w:jc w:val="both"/>
        <w:rPr>
          <w:rFonts w:ascii="Arial" w:hAnsi="Arial" w:cs="Arial"/>
          <w:sz w:val="20"/>
          <w:szCs w:val="20"/>
        </w:rPr>
      </w:pPr>
    </w:p>
    <w:p w14:paraId="5BCB1881" w14:textId="77777777"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Beneficios de corto plazo</w:t>
      </w:r>
    </w:p>
    <w:p w14:paraId="1977E847" w14:textId="77777777" w:rsidR="00B80195" w:rsidRPr="0050759F" w:rsidRDefault="00B80195" w:rsidP="00B80195">
      <w:pPr>
        <w:ind w:left="709"/>
        <w:jc w:val="both"/>
        <w:rPr>
          <w:rFonts w:ascii="Arial" w:hAnsi="Arial" w:cs="Arial"/>
          <w:sz w:val="20"/>
          <w:szCs w:val="20"/>
        </w:rPr>
      </w:pPr>
    </w:p>
    <w:p w14:paraId="2816B659"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Los beneficios sociales de corto plazo constituyen otros beneficios adicionales a los sueldos y salarios pagados en forma mensual y que legalmente están establecidos en los contratos de </w:t>
      </w:r>
      <w:r w:rsidRPr="0050759F">
        <w:rPr>
          <w:rFonts w:ascii="Arial" w:hAnsi="Arial" w:cs="Arial"/>
          <w:sz w:val="20"/>
          <w:szCs w:val="20"/>
        </w:rPr>
        <w:lastRenderedPageBreak/>
        <w:t>trabajo o por las leyes laborales y que son exigibles dentro del año corriente, los cuales se acumulan y se contabilizan en los resultados del período y se disminuyen por los pagos o por el exceso en las provisiones, los cuales se registran en los resultados del período.</w:t>
      </w:r>
    </w:p>
    <w:p w14:paraId="0A5E43E9" w14:textId="77777777" w:rsidR="00B80195" w:rsidRDefault="00B80195" w:rsidP="00B80195">
      <w:pPr>
        <w:tabs>
          <w:tab w:val="num" w:pos="567"/>
        </w:tabs>
        <w:ind w:left="709"/>
        <w:jc w:val="both"/>
        <w:rPr>
          <w:rFonts w:ascii="Arial" w:hAnsi="Arial" w:cs="Arial"/>
          <w:spacing w:val="-3"/>
          <w:sz w:val="20"/>
          <w:szCs w:val="20"/>
        </w:rPr>
      </w:pPr>
    </w:p>
    <w:p w14:paraId="5D5FF15F" w14:textId="77777777" w:rsidR="00B80195" w:rsidRPr="0050759F" w:rsidRDefault="00B80195" w:rsidP="00B80195">
      <w:pPr>
        <w:tabs>
          <w:tab w:val="num" w:pos="567"/>
        </w:tabs>
        <w:ind w:left="709"/>
        <w:jc w:val="both"/>
        <w:rPr>
          <w:rFonts w:ascii="Arial" w:hAnsi="Arial" w:cs="Arial"/>
          <w:spacing w:val="-3"/>
          <w:sz w:val="20"/>
          <w:szCs w:val="20"/>
        </w:rPr>
      </w:pPr>
      <w:r w:rsidRPr="0050759F">
        <w:rPr>
          <w:rFonts w:ascii="Arial" w:hAnsi="Arial" w:cs="Arial"/>
          <w:spacing w:val="-3"/>
          <w:sz w:val="20"/>
          <w:szCs w:val="20"/>
        </w:rPr>
        <w:t>Adicionalmente a lo antes mencionado las disposiciones laborales vigentes establecen que los empleados y trabajadores tienen derecho a una participación del 15% sobre las utilidades del año, esta provisión es registrada con cargo a los resultados del ejercicio en que se devenga.</w:t>
      </w:r>
    </w:p>
    <w:p w14:paraId="44BBBE66" w14:textId="77777777" w:rsidR="00B80195" w:rsidRDefault="00B80195" w:rsidP="00B80195">
      <w:pPr>
        <w:ind w:left="567"/>
        <w:jc w:val="both"/>
        <w:rPr>
          <w:rFonts w:ascii="Arial" w:hAnsi="Arial" w:cs="Arial"/>
          <w:sz w:val="20"/>
          <w:szCs w:val="20"/>
        </w:rPr>
      </w:pPr>
    </w:p>
    <w:p w14:paraId="718436AE" w14:textId="77777777"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Planes de beneficios definidos</w:t>
      </w:r>
    </w:p>
    <w:p w14:paraId="78329310" w14:textId="77777777" w:rsidR="00B80195" w:rsidRPr="0050759F" w:rsidRDefault="00B80195" w:rsidP="00B80195">
      <w:pPr>
        <w:tabs>
          <w:tab w:val="left" w:pos="1134"/>
        </w:tabs>
        <w:ind w:left="709"/>
        <w:jc w:val="both"/>
        <w:rPr>
          <w:rFonts w:ascii="Arial" w:hAnsi="Arial" w:cs="Arial"/>
          <w:sz w:val="20"/>
          <w:szCs w:val="20"/>
        </w:rPr>
      </w:pPr>
    </w:p>
    <w:p w14:paraId="4740D5B5"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El Código de Trabajo de la República del Ecuador, establece la obligación por parte de los empleadores de conceder los siguientes beneficios:</w:t>
      </w:r>
    </w:p>
    <w:p w14:paraId="1D535533" w14:textId="77777777" w:rsidR="00B80195" w:rsidRPr="0050759F" w:rsidRDefault="00B80195" w:rsidP="00B80195">
      <w:pPr>
        <w:ind w:left="709"/>
        <w:jc w:val="both"/>
        <w:rPr>
          <w:rFonts w:ascii="Arial" w:hAnsi="Arial" w:cs="Arial"/>
          <w:sz w:val="20"/>
          <w:szCs w:val="20"/>
        </w:rPr>
      </w:pPr>
    </w:p>
    <w:p w14:paraId="20F85434" w14:textId="77777777"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Jubilación patronal a todos aquellos empleados que hayan cumplido un mínimo de 25 años de servicio en una misma compañía.</w:t>
      </w:r>
    </w:p>
    <w:p w14:paraId="71C31E16" w14:textId="77777777"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Una compensación del 25% del salario por cada año de servicio, la cual se calcula en base al sueldo o salario vigente al momento de su retiro.</w:t>
      </w:r>
    </w:p>
    <w:p w14:paraId="656631F8" w14:textId="77777777" w:rsidR="00B80195" w:rsidRPr="0050759F" w:rsidRDefault="00B80195" w:rsidP="00B80195">
      <w:pPr>
        <w:tabs>
          <w:tab w:val="left" w:pos="1134"/>
        </w:tabs>
        <w:ind w:left="709"/>
        <w:jc w:val="both"/>
        <w:rPr>
          <w:rFonts w:ascii="Arial" w:hAnsi="Arial" w:cs="Arial"/>
          <w:sz w:val="20"/>
          <w:szCs w:val="20"/>
        </w:rPr>
      </w:pPr>
    </w:p>
    <w:p w14:paraId="1C97DA3A" w14:textId="77777777"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La Compañía establece reservas para estos beneficios en base a estudios actuariales efectuados por una empresa especializada. El método actuarial utilizado por el especialista para el cálculo es el “costeo de crédito unitario proyectado” y las provisiones se calculan en base a la remuneración del empleado y demás parámetros establecidos en el Código de Trabajo.</w:t>
      </w:r>
    </w:p>
    <w:p w14:paraId="089BA277" w14:textId="77777777" w:rsidR="00B80195" w:rsidRPr="0050759F" w:rsidRDefault="00B80195" w:rsidP="00B80195">
      <w:pPr>
        <w:tabs>
          <w:tab w:val="left" w:pos="567"/>
        </w:tabs>
        <w:ind w:left="709"/>
        <w:jc w:val="both"/>
        <w:rPr>
          <w:rFonts w:ascii="Arial" w:hAnsi="Arial" w:cs="Arial"/>
          <w:sz w:val="20"/>
          <w:szCs w:val="20"/>
        </w:rPr>
      </w:pPr>
    </w:p>
    <w:p w14:paraId="55B455F8" w14:textId="77777777"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 xml:space="preserve">Las suposiciones para determinar el estudio actuarial incluyen determinaciones de tasas de descuento de los bonos corporativos de la moneda de circulación en el país, las variaciones en los sueldos y salarios, tasas de mortalidad, edad, sexo, años de servicio, incremento en el monto mínimo de las pensiones jubilares, entre otros. Debido al largo plazo que caracteriza a la reserva para las obligaciones por beneficios de retiro, la estimación está sujeta a variaciones que podrían ser importantes. </w:t>
      </w:r>
    </w:p>
    <w:p w14:paraId="0252E16A" w14:textId="77777777" w:rsidR="00B80195" w:rsidRPr="0050759F" w:rsidRDefault="00B80195" w:rsidP="00F17DA5">
      <w:pPr>
        <w:tabs>
          <w:tab w:val="left" w:pos="567"/>
        </w:tabs>
        <w:jc w:val="both"/>
        <w:rPr>
          <w:rFonts w:ascii="Arial" w:hAnsi="Arial" w:cs="Arial"/>
          <w:sz w:val="20"/>
          <w:szCs w:val="20"/>
        </w:rPr>
      </w:pPr>
    </w:p>
    <w:p w14:paraId="409E5C93" w14:textId="77777777"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El incremento del costo laboral y de los intereses de estas provisiones se registran en los resultados del año y el efecto positivo o negativo en el nivel de las reservas derivadas por cambios en las estimaciones, se registra en el patrimonio como otros resultados integrales y los pagos son deducidos de la provisión.</w:t>
      </w:r>
    </w:p>
    <w:p w14:paraId="16524EAC" w14:textId="77777777" w:rsidR="00411944" w:rsidRDefault="00411944" w:rsidP="00B80195">
      <w:pPr>
        <w:tabs>
          <w:tab w:val="left" w:pos="993"/>
        </w:tabs>
        <w:ind w:left="709"/>
        <w:jc w:val="both"/>
        <w:rPr>
          <w:rFonts w:ascii="Arial" w:hAnsi="Arial" w:cs="Arial"/>
          <w:b/>
          <w:sz w:val="20"/>
          <w:szCs w:val="20"/>
          <w:u w:val="single"/>
        </w:rPr>
      </w:pPr>
    </w:p>
    <w:p w14:paraId="6EA0C9BD" w14:textId="77777777" w:rsidR="00B80195" w:rsidRPr="0050759F" w:rsidRDefault="00B80195" w:rsidP="00B80195">
      <w:pPr>
        <w:tabs>
          <w:tab w:val="left" w:pos="993"/>
        </w:tabs>
        <w:ind w:left="709"/>
        <w:jc w:val="both"/>
        <w:rPr>
          <w:rFonts w:ascii="Arial" w:hAnsi="Arial" w:cs="Arial"/>
          <w:b/>
          <w:sz w:val="20"/>
          <w:szCs w:val="20"/>
          <w:u w:val="single"/>
        </w:rPr>
      </w:pPr>
      <w:r w:rsidRPr="0050759F">
        <w:rPr>
          <w:rFonts w:ascii="Arial" w:hAnsi="Arial" w:cs="Arial"/>
          <w:b/>
          <w:sz w:val="20"/>
          <w:szCs w:val="20"/>
          <w:u w:val="single"/>
        </w:rPr>
        <w:t>Beneficios por terminación anticipada</w:t>
      </w:r>
    </w:p>
    <w:p w14:paraId="29684CC6" w14:textId="77777777" w:rsidR="00B80195" w:rsidRPr="0050759F" w:rsidRDefault="00B80195" w:rsidP="00B80195">
      <w:pPr>
        <w:ind w:left="709"/>
        <w:jc w:val="both"/>
        <w:rPr>
          <w:rFonts w:ascii="Arial" w:hAnsi="Arial" w:cs="Arial"/>
          <w:sz w:val="20"/>
          <w:szCs w:val="20"/>
        </w:rPr>
      </w:pPr>
    </w:p>
    <w:p w14:paraId="21561E2D" w14:textId="77777777"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Los beneficios por terminación anticipada se originan en el momento en el que el empleador decide terminar el contrato de prestación de servicios laborales en forma anticipada. La Compañía provisiona cuando existe la posibilidad real de una disminución de sus actividades o por una reestructuración de sus operaciones; en el evento de que no se origine por lo eventos antes mencionados y en los casos fortuitos los beneficios establecidos en </w:t>
      </w:r>
      <w:proofErr w:type="gramStart"/>
      <w:r w:rsidRPr="0050759F">
        <w:rPr>
          <w:rFonts w:ascii="Arial" w:hAnsi="Arial" w:cs="Arial"/>
          <w:sz w:val="20"/>
          <w:szCs w:val="20"/>
        </w:rPr>
        <w:t>la leyes laborales</w:t>
      </w:r>
      <w:proofErr w:type="gramEnd"/>
      <w:r w:rsidRPr="0050759F">
        <w:rPr>
          <w:rFonts w:ascii="Arial" w:hAnsi="Arial" w:cs="Arial"/>
          <w:sz w:val="20"/>
          <w:szCs w:val="20"/>
        </w:rPr>
        <w:t xml:space="preserve"> para la terminación anticipada se registran en los resultados en el momento que se originan.</w:t>
      </w:r>
    </w:p>
    <w:p w14:paraId="7FD05A71" w14:textId="77777777" w:rsidR="00B80195" w:rsidRPr="0050759F" w:rsidRDefault="00B80195" w:rsidP="00B80195">
      <w:pPr>
        <w:tabs>
          <w:tab w:val="left" w:pos="567"/>
        </w:tabs>
        <w:ind w:left="567"/>
        <w:jc w:val="both"/>
        <w:rPr>
          <w:rFonts w:ascii="Arial" w:hAnsi="Arial" w:cs="Arial"/>
          <w:sz w:val="20"/>
          <w:szCs w:val="20"/>
        </w:rPr>
      </w:pPr>
    </w:p>
    <w:p w14:paraId="772AA6CB"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Provisiones - pasivos acumulados </w:t>
      </w:r>
    </w:p>
    <w:p w14:paraId="3A4DC2CA" w14:textId="77777777" w:rsidR="00B80195" w:rsidRPr="0050759F" w:rsidRDefault="00B80195" w:rsidP="00B80195">
      <w:pPr>
        <w:ind w:left="709" w:hanging="709"/>
        <w:jc w:val="both"/>
        <w:rPr>
          <w:rFonts w:ascii="Arial" w:hAnsi="Arial" w:cs="Arial"/>
          <w:sz w:val="20"/>
          <w:szCs w:val="20"/>
          <w:lang w:eastAsia="es-EC"/>
        </w:rPr>
      </w:pPr>
    </w:p>
    <w:p w14:paraId="5436A1C3"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Las Compañía reconocen las provisiones cuando: (i) tiene una obligación presente, ya sea legal o implícita, como resultado de eventos relacionados con sus actividades, (</w:t>
      </w:r>
      <w:proofErr w:type="spellStart"/>
      <w:r w:rsidRPr="0050759F">
        <w:rPr>
          <w:rFonts w:ascii="Arial" w:hAnsi="Arial" w:cs="Arial"/>
          <w:sz w:val="20"/>
          <w:szCs w:val="20"/>
          <w:lang w:eastAsia="es-EC"/>
        </w:rPr>
        <w:t>ii</w:t>
      </w:r>
      <w:proofErr w:type="spellEnd"/>
      <w:r w:rsidRPr="0050759F">
        <w:rPr>
          <w:rFonts w:ascii="Arial" w:hAnsi="Arial" w:cs="Arial"/>
          <w:sz w:val="20"/>
          <w:szCs w:val="20"/>
          <w:lang w:eastAsia="es-EC"/>
        </w:rPr>
        <w:t>) es probable que se necesite una salida de recursos para liquidar una obligación actual en el futuro; y, (</w:t>
      </w:r>
      <w:proofErr w:type="spellStart"/>
      <w:r w:rsidRPr="0050759F">
        <w:rPr>
          <w:rFonts w:ascii="Arial" w:hAnsi="Arial" w:cs="Arial"/>
          <w:sz w:val="20"/>
          <w:szCs w:val="20"/>
          <w:lang w:eastAsia="es-EC"/>
        </w:rPr>
        <w:t>iii</w:t>
      </w:r>
      <w:proofErr w:type="spellEnd"/>
      <w:r w:rsidRPr="0050759F">
        <w:rPr>
          <w:rFonts w:ascii="Arial" w:hAnsi="Arial" w:cs="Arial"/>
          <w:sz w:val="20"/>
          <w:szCs w:val="20"/>
          <w:lang w:eastAsia="es-EC"/>
        </w:rPr>
        <w:t xml:space="preserve">) el monto se ha estimado de forma fiable. </w:t>
      </w:r>
    </w:p>
    <w:p w14:paraId="4EE8A2A3" w14:textId="77777777" w:rsidR="00B80195" w:rsidRPr="0050759F" w:rsidRDefault="00B80195" w:rsidP="00B80195">
      <w:pPr>
        <w:ind w:left="709"/>
        <w:jc w:val="both"/>
        <w:rPr>
          <w:rFonts w:ascii="Arial" w:hAnsi="Arial" w:cs="Arial"/>
          <w:sz w:val="20"/>
          <w:szCs w:val="20"/>
          <w:lang w:eastAsia="es-EC"/>
        </w:rPr>
      </w:pPr>
    </w:p>
    <w:p w14:paraId="4DB4172A"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montos reconocidos como provisión constituyen la mejor estimación de la Compañía, a la fecha de cierre de los estados financieros, de los desembolsos necesarios para liquidar la obligación.</w:t>
      </w:r>
    </w:p>
    <w:p w14:paraId="67CD3D4C" w14:textId="68E35D96"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lastRenderedPageBreak/>
        <w:t xml:space="preserve">Las provisiones de corto plazo se reconocen en resultados y las de largo plazo son determinadas a través del descuento de los flujos de efectivo futuros previstos a una tasa de intereses de mercado relacionada con el valor temporal del dinero. La actualización del descuento de los valores provisionados es </w:t>
      </w:r>
      <w:r w:rsidR="000003C7" w:rsidRPr="0050759F">
        <w:rPr>
          <w:rFonts w:ascii="Arial" w:hAnsi="Arial" w:cs="Arial"/>
          <w:sz w:val="20"/>
          <w:szCs w:val="20"/>
          <w:lang w:eastAsia="es-EC"/>
        </w:rPr>
        <w:t>reconocida</w:t>
      </w:r>
      <w:r w:rsidRPr="0050759F">
        <w:rPr>
          <w:rFonts w:ascii="Arial" w:hAnsi="Arial" w:cs="Arial"/>
          <w:sz w:val="20"/>
          <w:szCs w:val="20"/>
          <w:lang w:eastAsia="es-EC"/>
        </w:rPr>
        <w:t xml:space="preserve"> como gasto financiero.</w:t>
      </w:r>
    </w:p>
    <w:p w14:paraId="47B5761C" w14:textId="77777777" w:rsidR="00B80195" w:rsidRPr="0050759F" w:rsidRDefault="00B80195" w:rsidP="00B80195">
      <w:pPr>
        <w:jc w:val="both"/>
        <w:rPr>
          <w:rFonts w:ascii="Arial" w:hAnsi="Arial" w:cs="Arial"/>
          <w:sz w:val="20"/>
          <w:szCs w:val="20"/>
          <w:lang w:eastAsia="es-EC"/>
        </w:rPr>
      </w:pPr>
    </w:p>
    <w:p w14:paraId="1780E06C"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Impuesto a la renta </w:t>
      </w:r>
    </w:p>
    <w:p w14:paraId="462E5751" w14:textId="77777777" w:rsidR="00B80195" w:rsidRPr="0050759F" w:rsidRDefault="00B80195" w:rsidP="00B80195">
      <w:pPr>
        <w:tabs>
          <w:tab w:val="num" w:pos="567"/>
        </w:tabs>
        <w:ind w:left="567"/>
        <w:rPr>
          <w:rFonts w:ascii="Arial" w:hAnsi="Arial" w:cs="Arial"/>
          <w:sz w:val="20"/>
          <w:szCs w:val="20"/>
        </w:rPr>
      </w:pPr>
    </w:p>
    <w:p w14:paraId="7AD88E39" w14:textId="77777777" w:rsidR="00B80195" w:rsidRPr="0050759F" w:rsidRDefault="00B80195" w:rsidP="00B80195">
      <w:pPr>
        <w:tabs>
          <w:tab w:val="num" w:pos="709"/>
        </w:tabs>
        <w:ind w:left="709"/>
        <w:rPr>
          <w:rFonts w:ascii="Arial" w:hAnsi="Arial" w:cs="Arial"/>
          <w:sz w:val="20"/>
          <w:szCs w:val="20"/>
          <w:lang w:eastAsia="es-EC"/>
        </w:rPr>
      </w:pPr>
      <w:r w:rsidRPr="0050759F">
        <w:rPr>
          <w:rFonts w:ascii="Arial" w:hAnsi="Arial" w:cs="Arial"/>
          <w:sz w:val="20"/>
          <w:szCs w:val="20"/>
          <w:lang w:eastAsia="es-EC"/>
        </w:rPr>
        <w:t>El impuesto a la renta comprende el impuesto corriente y diferido de conformidad con las leyes tributarias vigentes en la República del Ecuador.</w:t>
      </w:r>
    </w:p>
    <w:p w14:paraId="60D50BB4" w14:textId="77777777" w:rsidR="00B80195" w:rsidRPr="00796D22" w:rsidRDefault="00B80195" w:rsidP="00B80195">
      <w:pPr>
        <w:tabs>
          <w:tab w:val="num" w:pos="709"/>
        </w:tabs>
        <w:ind w:left="709"/>
        <w:jc w:val="both"/>
        <w:rPr>
          <w:rFonts w:ascii="Arial" w:hAnsi="Arial" w:cs="Arial"/>
          <w:b/>
          <w:sz w:val="20"/>
          <w:szCs w:val="20"/>
          <w:u w:val="single"/>
          <w:lang w:eastAsia="es-EC"/>
        </w:rPr>
      </w:pPr>
    </w:p>
    <w:p w14:paraId="682EE0EA" w14:textId="77777777" w:rsidR="00B80195" w:rsidRPr="000B54A4" w:rsidRDefault="00B80195" w:rsidP="00B80195">
      <w:pPr>
        <w:tabs>
          <w:tab w:val="num" w:pos="709"/>
        </w:tabs>
        <w:ind w:left="709"/>
        <w:jc w:val="both"/>
        <w:rPr>
          <w:rFonts w:ascii="Arial" w:hAnsi="Arial" w:cs="Arial"/>
          <w:b/>
          <w:sz w:val="20"/>
          <w:szCs w:val="20"/>
          <w:u w:val="single"/>
          <w:lang w:eastAsia="es-EC"/>
        </w:rPr>
      </w:pPr>
      <w:r w:rsidRPr="000B54A4">
        <w:rPr>
          <w:rFonts w:ascii="Arial" w:hAnsi="Arial" w:cs="Arial"/>
          <w:b/>
          <w:sz w:val="20"/>
          <w:szCs w:val="20"/>
          <w:u w:val="single"/>
          <w:lang w:eastAsia="es-EC"/>
        </w:rPr>
        <w:t>Impuesto a la renta corriente</w:t>
      </w:r>
    </w:p>
    <w:p w14:paraId="697759C1" w14:textId="77777777" w:rsidR="00B80195" w:rsidRPr="00796D22" w:rsidRDefault="00B80195" w:rsidP="00B80195">
      <w:pPr>
        <w:tabs>
          <w:tab w:val="num" w:pos="709"/>
        </w:tabs>
        <w:ind w:left="709"/>
        <w:jc w:val="both"/>
        <w:rPr>
          <w:rFonts w:ascii="Arial" w:hAnsi="Arial" w:cs="Arial"/>
          <w:sz w:val="20"/>
          <w:szCs w:val="20"/>
          <w:lang w:eastAsia="es-EC"/>
        </w:rPr>
      </w:pPr>
    </w:p>
    <w:p w14:paraId="22BB3EC5" w14:textId="77777777" w:rsidR="00B80195" w:rsidRPr="00796D22" w:rsidRDefault="00B80195" w:rsidP="00B80195">
      <w:pPr>
        <w:tabs>
          <w:tab w:val="num" w:pos="709"/>
        </w:tabs>
        <w:ind w:left="709"/>
        <w:jc w:val="both"/>
        <w:rPr>
          <w:rFonts w:ascii="Arial" w:hAnsi="Arial" w:cs="Arial"/>
          <w:sz w:val="20"/>
          <w:szCs w:val="20"/>
        </w:rPr>
      </w:pPr>
      <w:r w:rsidRPr="00796D22">
        <w:rPr>
          <w:rFonts w:ascii="Arial" w:hAnsi="Arial" w:cs="Arial"/>
          <w:sz w:val="20"/>
          <w:szCs w:val="20"/>
          <w:lang w:eastAsia="es-EC"/>
        </w:rPr>
        <w:t xml:space="preserve">El impuesto sobre la renta corriente del activo y pasivo se calcula utilizando las tasas aplicables, para los distintos tributos; </w:t>
      </w:r>
      <w:r w:rsidRPr="00796D22">
        <w:rPr>
          <w:rFonts w:ascii="Arial" w:hAnsi="Arial" w:cs="Arial"/>
          <w:sz w:val="20"/>
          <w:szCs w:val="20"/>
        </w:rPr>
        <w:t>que estén determinadas en la ley, reglamentos y disposiciones tributarias vigentes a la fecha de corte de los estados financieros sobre el que se informa</w:t>
      </w:r>
      <w:r w:rsidRPr="00796D22">
        <w:rPr>
          <w:rFonts w:ascii="Arial" w:hAnsi="Arial" w:cs="Arial"/>
          <w:sz w:val="20"/>
          <w:szCs w:val="20"/>
          <w:lang w:eastAsia="es-EC"/>
        </w:rPr>
        <w:t xml:space="preserve"> y estos se contabilizan en los resultados del período.</w:t>
      </w:r>
    </w:p>
    <w:p w14:paraId="007D234B" w14:textId="77777777" w:rsidR="007E74A5" w:rsidRDefault="007E74A5" w:rsidP="00B80195">
      <w:pPr>
        <w:jc w:val="both"/>
        <w:rPr>
          <w:rFonts w:ascii="Arial" w:hAnsi="Arial" w:cs="Arial"/>
          <w:b/>
          <w:sz w:val="20"/>
          <w:szCs w:val="20"/>
          <w:u w:val="single"/>
          <w:lang w:eastAsia="es-EC"/>
        </w:rPr>
      </w:pPr>
    </w:p>
    <w:p w14:paraId="5BBF9E48" w14:textId="77777777" w:rsidR="00B80195" w:rsidRPr="000B54A4" w:rsidRDefault="00B80195" w:rsidP="00B80195">
      <w:pPr>
        <w:ind w:left="709"/>
        <w:jc w:val="both"/>
        <w:rPr>
          <w:rFonts w:ascii="Arial" w:hAnsi="Arial" w:cs="Arial"/>
          <w:b/>
          <w:sz w:val="20"/>
          <w:szCs w:val="20"/>
          <w:u w:val="single"/>
          <w:lang w:eastAsia="es-EC"/>
        </w:rPr>
      </w:pPr>
      <w:r w:rsidRPr="000B54A4">
        <w:rPr>
          <w:rFonts w:ascii="Arial" w:hAnsi="Arial" w:cs="Arial"/>
          <w:b/>
          <w:sz w:val="20"/>
          <w:szCs w:val="20"/>
          <w:u w:val="single"/>
          <w:lang w:eastAsia="es-EC"/>
        </w:rPr>
        <w:t>Impuesto a la renta diferido</w:t>
      </w:r>
    </w:p>
    <w:p w14:paraId="6128062C" w14:textId="77777777" w:rsidR="00B80195" w:rsidRPr="00796D22" w:rsidRDefault="00B80195" w:rsidP="00B80195">
      <w:pPr>
        <w:ind w:left="709"/>
        <w:jc w:val="both"/>
        <w:rPr>
          <w:rFonts w:ascii="Arial" w:hAnsi="Arial" w:cs="Arial"/>
          <w:sz w:val="20"/>
          <w:szCs w:val="20"/>
          <w:lang w:eastAsia="es-EC"/>
        </w:rPr>
      </w:pPr>
    </w:p>
    <w:p w14:paraId="5781BF5E"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impuesto a la renta diferido se reconoce utilizando el método del activo y pasivo producto de las diferencias temporales </w:t>
      </w:r>
      <w:r w:rsidRPr="00796D22">
        <w:rPr>
          <w:rFonts w:ascii="Arial" w:hAnsi="Arial" w:cs="Arial"/>
          <w:sz w:val="20"/>
          <w:szCs w:val="20"/>
          <w:lang w:eastAsia="es-EC"/>
        </w:rPr>
        <w:t>originadas entre los saldos en libros de los activos y pasivos en los estados</w:t>
      </w:r>
      <w:r w:rsidR="00F17DA5">
        <w:rPr>
          <w:rFonts w:ascii="Arial" w:hAnsi="Arial" w:cs="Arial"/>
          <w:sz w:val="20"/>
          <w:szCs w:val="20"/>
          <w:lang w:eastAsia="es-EC"/>
        </w:rPr>
        <w:t xml:space="preserve"> financieros de acuerdo a </w:t>
      </w:r>
      <w:proofErr w:type="spellStart"/>
      <w:r w:rsidR="00F17DA5">
        <w:rPr>
          <w:rFonts w:ascii="Arial" w:hAnsi="Arial" w:cs="Arial"/>
          <w:sz w:val="20"/>
          <w:szCs w:val="20"/>
          <w:lang w:eastAsia="es-EC"/>
        </w:rPr>
        <w:t>NIIFs</w:t>
      </w:r>
      <w:proofErr w:type="spellEnd"/>
      <w:r w:rsidR="00F17DA5">
        <w:rPr>
          <w:rFonts w:ascii="Arial" w:hAnsi="Arial" w:cs="Arial"/>
          <w:sz w:val="20"/>
          <w:szCs w:val="20"/>
          <w:lang w:eastAsia="es-EC"/>
        </w:rPr>
        <w:t xml:space="preserve"> – Pymes </w:t>
      </w:r>
      <w:r w:rsidRPr="00796D22">
        <w:rPr>
          <w:rFonts w:ascii="Arial" w:hAnsi="Arial" w:cs="Arial"/>
          <w:sz w:val="20"/>
          <w:szCs w:val="20"/>
          <w:lang w:eastAsia="es-EC"/>
        </w:rPr>
        <w:t>y la base contable fiscal,</w:t>
      </w:r>
      <w:r w:rsidRPr="00796D22">
        <w:rPr>
          <w:rFonts w:ascii="Arial" w:hAnsi="Arial" w:cs="Arial"/>
          <w:sz w:val="20"/>
          <w:szCs w:val="20"/>
        </w:rPr>
        <w:t xml:space="preserve"> a la fecha de cierre del periodo en el que se informa.</w:t>
      </w:r>
    </w:p>
    <w:p w14:paraId="27975CE1" w14:textId="77777777" w:rsidR="00B80195" w:rsidRPr="00796D22" w:rsidRDefault="00B80195" w:rsidP="00B80195">
      <w:pPr>
        <w:ind w:left="709"/>
        <w:jc w:val="both"/>
        <w:rPr>
          <w:rFonts w:ascii="Arial" w:hAnsi="Arial" w:cs="Arial"/>
          <w:sz w:val="20"/>
          <w:szCs w:val="20"/>
        </w:rPr>
      </w:pPr>
    </w:p>
    <w:p w14:paraId="74D2F482"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por impuesto diferido se reconocen por todas las diferencias temporarias deducibles que se estima sean compensables en el futuro y los pasivos por impuesto diferido se reconocen por todas las diferencias temporarias imponibles. </w:t>
      </w:r>
    </w:p>
    <w:p w14:paraId="5BFB1816" w14:textId="77777777" w:rsidR="00B80195" w:rsidRPr="00796D22" w:rsidRDefault="00B80195" w:rsidP="00B80195">
      <w:pPr>
        <w:ind w:left="709"/>
        <w:jc w:val="both"/>
        <w:rPr>
          <w:rFonts w:ascii="Arial" w:hAnsi="Arial" w:cs="Arial"/>
          <w:sz w:val="20"/>
          <w:szCs w:val="20"/>
        </w:rPr>
      </w:pPr>
    </w:p>
    <w:p w14:paraId="4AD7DD62"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valor de los activos por impuesto diferido contabilizados se </w:t>
      </w:r>
      <w:r w:rsidR="00F17DA5" w:rsidRPr="00796D22">
        <w:rPr>
          <w:rFonts w:ascii="Arial" w:hAnsi="Arial" w:cs="Arial"/>
          <w:sz w:val="20"/>
          <w:szCs w:val="20"/>
        </w:rPr>
        <w:t>revisa</w:t>
      </w:r>
      <w:r w:rsidRPr="00796D22">
        <w:rPr>
          <w:rFonts w:ascii="Arial" w:hAnsi="Arial" w:cs="Arial"/>
          <w:sz w:val="20"/>
          <w:szCs w:val="20"/>
        </w:rPr>
        <w:t xml:space="preserve"> al cierre de los estados financieros sobre el cual se informa y se reducen en el momento en que se determinan que no existen ganancias imponibles futura que permitan que esos activos por impuesto diferido sean utilizados total o parcialmente.</w:t>
      </w:r>
    </w:p>
    <w:p w14:paraId="5654C6D3" w14:textId="77777777" w:rsidR="00B80195" w:rsidRPr="00796D22" w:rsidRDefault="00B80195" w:rsidP="00B80195">
      <w:pPr>
        <w:ind w:left="709"/>
        <w:jc w:val="both"/>
        <w:rPr>
          <w:rFonts w:ascii="Arial" w:hAnsi="Arial" w:cs="Arial"/>
          <w:sz w:val="20"/>
          <w:szCs w:val="20"/>
        </w:rPr>
      </w:pPr>
    </w:p>
    <w:p w14:paraId="0D5C7EC6"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por impuesto diferido no reconocidos contablemente en los estados financieros se evalúan en cada fecha de cierre de los estados financieros y se reconocen en la medida en que exista la evidencia de ganancias imponibles futuras que permitan recuperar dichos activos por impuesto diferido no reconocidos con anterioridad.</w:t>
      </w:r>
    </w:p>
    <w:p w14:paraId="3078178C" w14:textId="77777777" w:rsidR="00B80195" w:rsidRPr="00796D22" w:rsidRDefault="00B80195" w:rsidP="00B80195">
      <w:pPr>
        <w:ind w:left="709"/>
        <w:jc w:val="both"/>
        <w:rPr>
          <w:rFonts w:ascii="Arial" w:hAnsi="Arial" w:cs="Arial"/>
          <w:sz w:val="20"/>
          <w:szCs w:val="20"/>
        </w:rPr>
      </w:pPr>
    </w:p>
    <w:p w14:paraId="0A2C1062"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y pasivos por impuestos diferidos, son medidos a las tasas de impuesto sobre la renta vigentes a la fecha en que se determina la existencia de las diferencias temporarias y que están vigentes en la Ley Orgánica de Régimen Tributario Interno, su reglamento y demás disposiciones legales tributarias vigentes.</w:t>
      </w:r>
    </w:p>
    <w:p w14:paraId="577D2DC2" w14:textId="77777777" w:rsidR="00B80195" w:rsidRPr="00796D22" w:rsidRDefault="00B80195" w:rsidP="00B80195">
      <w:pPr>
        <w:ind w:left="709"/>
        <w:jc w:val="both"/>
        <w:rPr>
          <w:rFonts w:ascii="Arial" w:hAnsi="Arial" w:cs="Arial"/>
          <w:sz w:val="20"/>
          <w:szCs w:val="20"/>
        </w:rPr>
      </w:pPr>
    </w:p>
    <w:p w14:paraId="7851411E"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impuesto diferido relacionado con las partidas reconocidas fuera del resultado se reconoce fuera de éste. Las partidas de impuestos diferidos se reconocen en una relación con la transacción subyacente, ya sea en el otro resultado integral o directamente en el patrimonio.</w:t>
      </w:r>
    </w:p>
    <w:p w14:paraId="603C0D57" w14:textId="77777777" w:rsidR="00F17DA5" w:rsidRDefault="00F17DA5" w:rsidP="00B80195">
      <w:pPr>
        <w:ind w:left="709"/>
        <w:jc w:val="both"/>
        <w:rPr>
          <w:rFonts w:ascii="Arial" w:hAnsi="Arial" w:cs="Arial"/>
          <w:sz w:val="20"/>
          <w:szCs w:val="20"/>
        </w:rPr>
      </w:pPr>
    </w:p>
    <w:p w14:paraId="7AD89CBE"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y pasivos por impuesto diferido se compensan cuando existe el derecho legalmente exigible de compensar los activos y pasivos por el impuesto a las ganancias corriente y si los impuestos diferidos se relacionan con la misma entidad sujeta a impuestos y la misma jurisdicción fiscal. </w:t>
      </w:r>
    </w:p>
    <w:p w14:paraId="63021291" w14:textId="77777777" w:rsidR="00B80195" w:rsidRPr="00796D22" w:rsidRDefault="00B80195" w:rsidP="00B80195">
      <w:pPr>
        <w:ind w:left="709"/>
        <w:jc w:val="both"/>
        <w:rPr>
          <w:rFonts w:ascii="Arial" w:hAnsi="Arial" w:cs="Arial"/>
          <w:sz w:val="20"/>
          <w:szCs w:val="20"/>
        </w:rPr>
      </w:pPr>
    </w:p>
    <w:p w14:paraId="618F3418" w14:textId="77777777"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pasivo por impuestos diferidos no se descuenta a su valor actual y se clasifica como no corriente.</w:t>
      </w:r>
    </w:p>
    <w:p w14:paraId="006E1708"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lastRenderedPageBreak/>
        <w:t>Reconocimiento costos y gastos de operación</w:t>
      </w:r>
    </w:p>
    <w:p w14:paraId="1A762E94" w14:textId="77777777" w:rsidR="00B80195" w:rsidRPr="0050759F" w:rsidRDefault="00B80195" w:rsidP="00B80195">
      <w:pPr>
        <w:ind w:left="709" w:hanging="709"/>
        <w:jc w:val="both"/>
        <w:rPr>
          <w:rFonts w:ascii="Arial" w:hAnsi="Arial" w:cs="Arial"/>
          <w:sz w:val="20"/>
          <w:szCs w:val="20"/>
          <w:lang w:eastAsia="es-EC"/>
        </w:rPr>
      </w:pPr>
    </w:p>
    <w:p w14:paraId="42E59EBC" w14:textId="77777777"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costos y gastos de operación se reconocen en los resultados por el método devengado y cuando los productos y servicios son provistos, independientemente del momento en que se paguen.</w:t>
      </w:r>
    </w:p>
    <w:p w14:paraId="7E0775C3" w14:textId="77777777" w:rsidR="00B80195" w:rsidRPr="0050759F" w:rsidRDefault="00B80195" w:rsidP="00B80195">
      <w:pPr>
        <w:ind w:left="567"/>
        <w:jc w:val="both"/>
        <w:rPr>
          <w:rFonts w:ascii="Arial" w:hAnsi="Arial" w:cs="Arial"/>
          <w:b/>
          <w:bCs/>
          <w:snapToGrid w:val="0"/>
          <w:sz w:val="20"/>
          <w:szCs w:val="20"/>
          <w:lang w:eastAsia="en-US"/>
        </w:rPr>
      </w:pPr>
    </w:p>
    <w:p w14:paraId="7F3DABBA" w14:textId="77777777"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Resultado integral por acción</w:t>
      </w:r>
    </w:p>
    <w:p w14:paraId="7BF2025E" w14:textId="77777777" w:rsidR="00B80195" w:rsidRPr="0050759F" w:rsidRDefault="00B80195" w:rsidP="00B80195">
      <w:pPr>
        <w:tabs>
          <w:tab w:val="num" w:pos="567"/>
        </w:tabs>
        <w:ind w:left="567"/>
        <w:rPr>
          <w:rFonts w:ascii="Arial" w:hAnsi="Arial" w:cs="Arial"/>
          <w:sz w:val="20"/>
          <w:szCs w:val="20"/>
        </w:rPr>
      </w:pPr>
    </w:p>
    <w:p w14:paraId="0E51BD79" w14:textId="206548D6" w:rsidR="00B80195" w:rsidRPr="0050759F" w:rsidRDefault="00B80195" w:rsidP="00B80195">
      <w:pPr>
        <w:tabs>
          <w:tab w:val="left" w:pos="709"/>
        </w:tabs>
        <w:ind w:left="709"/>
        <w:jc w:val="both"/>
        <w:rPr>
          <w:rFonts w:ascii="Arial" w:hAnsi="Arial" w:cs="Arial"/>
          <w:sz w:val="20"/>
          <w:szCs w:val="20"/>
        </w:rPr>
      </w:pPr>
      <w:r w:rsidRPr="0050759F">
        <w:rPr>
          <w:rFonts w:ascii="Arial" w:hAnsi="Arial" w:cs="Arial"/>
          <w:sz w:val="20"/>
          <w:szCs w:val="20"/>
        </w:rPr>
        <w:t>El resultado integral por acción ordinaria se calcula considerando el promedio ponderado de acciones en circulación durante el año. El promedio de ac</w:t>
      </w:r>
      <w:r w:rsidR="00351216">
        <w:rPr>
          <w:rFonts w:ascii="Arial" w:hAnsi="Arial" w:cs="Arial"/>
          <w:sz w:val="20"/>
          <w:szCs w:val="20"/>
        </w:rPr>
        <w:t>cio</w:t>
      </w:r>
      <w:r w:rsidR="00DC1CD8">
        <w:rPr>
          <w:rFonts w:ascii="Arial" w:hAnsi="Arial" w:cs="Arial"/>
          <w:sz w:val="20"/>
          <w:szCs w:val="20"/>
        </w:rPr>
        <w:t xml:space="preserve">nes en circulación en el </w:t>
      </w:r>
      <w:r w:rsidR="00C03AB5">
        <w:rPr>
          <w:rFonts w:ascii="Arial" w:hAnsi="Arial" w:cs="Arial"/>
          <w:sz w:val="20"/>
          <w:szCs w:val="20"/>
        </w:rPr>
        <w:t>2024</w:t>
      </w:r>
      <w:r w:rsidRPr="0050759F">
        <w:rPr>
          <w:rFonts w:ascii="Arial" w:hAnsi="Arial" w:cs="Arial"/>
          <w:sz w:val="20"/>
          <w:szCs w:val="20"/>
        </w:rPr>
        <w:t xml:space="preserve"> y </w:t>
      </w:r>
      <w:r w:rsidR="00C03AB5">
        <w:rPr>
          <w:rFonts w:ascii="Arial" w:hAnsi="Arial" w:cs="Arial"/>
          <w:sz w:val="20"/>
          <w:szCs w:val="20"/>
        </w:rPr>
        <w:t>2023</w:t>
      </w:r>
      <w:r w:rsidRPr="0050759F">
        <w:rPr>
          <w:rFonts w:ascii="Arial" w:hAnsi="Arial" w:cs="Arial"/>
          <w:sz w:val="20"/>
          <w:szCs w:val="20"/>
        </w:rPr>
        <w:t xml:space="preserve"> fue de </w:t>
      </w:r>
      <w:r w:rsidR="00B90052">
        <w:rPr>
          <w:rFonts w:ascii="Arial" w:hAnsi="Arial" w:cs="Arial"/>
          <w:sz w:val="20"/>
          <w:szCs w:val="20"/>
        </w:rPr>
        <w:t>5.100</w:t>
      </w:r>
      <w:r w:rsidRPr="0050759F">
        <w:rPr>
          <w:rFonts w:ascii="Arial" w:hAnsi="Arial" w:cs="Arial"/>
          <w:sz w:val="20"/>
          <w:szCs w:val="20"/>
        </w:rPr>
        <w:t xml:space="preserve"> de US$ 1 cada una.</w:t>
      </w:r>
    </w:p>
    <w:p w14:paraId="70DE7F08" w14:textId="77777777" w:rsidR="00B80195" w:rsidRDefault="00B80195" w:rsidP="00B80195">
      <w:pPr>
        <w:jc w:val="both"/>
        <w:rPr>
          <w:rFonts w:ascii="Arial" w:hAnsi="Arial" w:cs="Arial"/>
          <w:sz w:val="20"/>
          <w:szCs w:val="20"/>
        </w:rPr>
      </w:pPr>
    </w:p>
    <w:p w14:paraId="49CBBF0D" w14:textId="77777777" w:rsidR="007E74A5" w:rsidRDefault="007E74A5" w:rsidP="00B80195">
      <w:pPr>
        <w:jc w:val="both"/>
        <w:rPr>
          <w:rFonts w:ascii="Arial" w:hAnsi="Arial" w:cs="Arial"/>
          <w:sz w:val="20"/>
          <w:szCs w:val="20"/>
        </w:rPr>
      </w:pPr>
    </w:p>
    <w:p w14:paraId="286D3D6D" w14:textId="77777777" w:rsidR="00B80195" w:rsidRPr="0050759F" w:rsidRDefault="00B80195" w:rsidP="00B80195">
      <w:pPr>
        <w:pStyle w:val="Ttulo1"/>
        <w:rPr>
          <w:rFonts w:ascii="Arial" w:hAnsi="Arial" w:cs="Arial"/>
          <w:sz w:val="20"/>
          <w:lang w:val="es-EC"/>
        </w:rPr>
      </w:pPr>
      <w:r>
        <w:rPr>
          <w:rFonts w:ascii="Arial" w:hAnsi="Arial" w:cs="Arial"/>
          <w:sz w:val="20"/>
        </w:rPr>
        <w:t xml:space="preserve">NOTA </w:t>
      </w:r>
      <w:r>
        <w:rPr>
          <w:rFonts w:ascii="Arial" w:hAnsi="Arial" w:cs="Arial"/>
          <w:sz w:val="20"/>
          <w:lang w:val="es-EC"/>
        </w:rPr>
        <w:t>4</w:t>
      </w:r>
      <w:r w:rsidRPr="0050759F">
        <w:rPr>
          <w:rFonts w:ascii="Arial" w:hAnsi="Arial" w:cs="Arial"/>
          <w:sz w:val="20"/>
        </w:rPr>
        <w:t xml:space="preserve"> – </w:t>
      </w:r>
      <w:r w:rsidRPr="0050759F">
        <w:rPr>
          <w:rFonts w:ascii="Arial" w:hAnsi="Arial" w:cs="Arial"/>
          <w:sz w:val="20"/>
          <w:lang w:val="es-EC"/>
        </w:rPr>
        <w:t>USO DE JUICIOS, ESTIMACIONES Y SUPUESTOS CONTABLES SIGNIFICATIVOS</w:t>
      </w:r>
    </w:p>
    <w:p w14:paraId="01DA4110" w14:textId="77777777" w:rsidR="00B80195" w:rsidRPr="0050759F" w:rsidRDefault="00B80195" w:rsidP="00B80195">
      <w:pPr>
        <w:pStyle w:val="Prrafodelista"/>
        <w:spacing w:before="0" w:after="0"/>
        <w:ind w:left="0"/>
        <w:rPr>
          <w:rFonts w:ascii="Arial" w:hAnsi="Arial" w:cs="Arial"/>
          <w:spacing w:val="-2"/>
          <w:sz w:val="20"/>
          <w:szCs w:val="20"/>
        </w:rPr>
      </w:pPr>
    </w:p>
    <w:p w14:paraId="2CFEBAB6" w14:textId="77777777" w:rsidR="00B80195" w:rsidRPr="004D5031" w:rsidRDefault="00B80195" w:rsidP="00B80195">
      <w:pPr>
        <w:jc w:val="both"/>
        <w:rPr>
          <w:rFonts w:ascii="Arial" w:eastAsia="Arial" w:hAnsi="Arial" w:cs="Arial"/>
          <w:sz w:val="20"/>
          <w:szCs w:val="20"/>
        </w:rPr>
      </w:pPr>
      <w:r w:rsidRPr="004D5031">
        <w:rPr>
          <w:rFonts w:ascii="Arial" w:hAnsi="Arial" w:cs="Arial"/>
          <w:sz w:val="20"/>
          <w:szCs w:val="20"/>
        </w:rPr>
        <w:t>Las políticas establecidas por la Compañía</w:t>
      </w:r>
      <w:r>
        <w:rPr>
          <w:rFonts w:ascii="Arial" w:hAnsi="Arial" w:cs="Arial"/>
          <w:sz w:val="20"/>
          <w:szCs w:val="20"/>
        </w:rPr>
        <w:t xml:space="preserve"> nota 3</w:t>
      </w:r>
      <w:r w:rsidRPr="004D5031">
        <w:rPr>
          <w:rFonts w:ascii="Arial" w:hAnsi="Arial" w:cs="Arial"/>
          <w:sz w:val="20"/>
          <w:szCs w:val="20"/>
        </w:rPr>
        <w:t xml:space="preserve"> y conforme lo requieren las NIIF-PYMES requieren que la Administración realice juicios, estimaciones y suposiciones contables que afectan a los importes registrados en los activos y pasivos y la revelación de pasivos contingentes a la fecha de los estados financieros, los cuales tienen un efecto en los ingresos y gastos durante el periodo sobre el que se informa. Las estimaciones, juicios y suposiciones se basan en la experiencia de la Administración y otros factores, incluyendo expectativas razonables de los eventos futuros en función de las circunstancias. </w:t>
      </w:r>
      <w:r w:rsidRPr="004D5031">
        <w:rPr>
          <w:rFonts w:ascii="Arial" w:eastAsia="Arial" w:hAnsi="Arial" w:cs="Arial"/>
          <w:sz w:val="20"/>
          <w:szCs w:val="20"/>
        </w:rPr>
        <w:t>Las estimaciones contables, por definición, raramente pueden ser iguales a los resultados reales.</w:t>
      </w:r>
    </w:p>
    <w:p w14:paraId="434D9EED" w14:textId="77777777" w:rsidR="00B80195" w:rsidRPr="0050759F" w:rsidRDefault="00B80195" w:rsidP="00B80195">
      <w:pPr>
        <w:pStyle w:val="Prrafodelista"/>
        <w:spacing w:before="0" w:after="0"/>
        <w:ind w:left="0"/>
        <w:rPr>
          <w:rFonts w:ascii="Arial" w:hAnsi="Arial" w:cs="Arial"/>
          <w:spacing w:val="-2"/>
          <w:sz w:val="20"/>
          <w:szCs w:val="20"/>
        </w:rPr>
      </w:pPr>
    </w:p>
    <w:p w14:paraId="13D6CD88" w14:textId="77777777" w:rsidR="00B80195" w:rsidRDefault="00B80195" w:rsidP="00B80195">
      <w:pPr>
        <w:jc w:val="both"/>
        <w:rPr>
          <w:rFonts w:ascii="Arial" w:hAnsi="Arial" w:cs="Arial"/>
          <w:sz w:val="20"/>
          <w:szCs w:val="20"/>
        </w:rPr>
      </w:pPr>
      <w:r w:rsidRPr="000428CE">
        <w:rPr>
          <w:rFonts w:ascii="Arial" w:eastAsia="Arial" w:hAnsi="Arial" w:cs="Arial"/>
          <w:sz w:val="20"/>
          <w:szCs w:val="20"/>
        </w:rPr>
        <w:t>Las estimaciones, juicios y suposiciones que tienen un riesgo significativo que pueden dar lugar a un ajuste material a los importes en libros dentro del ejercicio financiero son las siguientes</w:t>
      </w:r>
      <w:r w:rsidRPr="000428CE">
        <w:rPr>
          <w:rFonts w:ascii="Arial" w:hAnsi="Arial" w:cs="Arial"/>
          <w:sz w:val="20"/>
          <w:szCs w:val="20"/>
        </w:rPr>
        <w:t>:</w:t>
      </w:r>
    </w:p>
    <w:p w14:paraId="32978F4F" w14:textId="77777777" w:rsidR="00073816" w:rsidRPr="000428CE" w:rsidRDefault="00073816" w:rsidP="00B80195">
      <w:pPr>
        <w:jc w:val="both"/>
        <w:rPr>
          <w:rFonts w:ascii="Arial" w:hAnsi="Arial" w:cs="Arial"/>
          <w:sz w:val="20"/>
          <w:szCs w:val="20"/>
        </w:rPr>
      </w:pPr>
    </w:p>
    <w:p w14:paraId="7B618650" w14:textId="77777777"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 xml:space="preserve">Provisiones para </w:t>
      </w:r>
      <w:r>
        <w:rPr>
          <w:rFonts w:ascii="Arial" w:hAnsi="Arial" w:cs="Arial"/>
          <w:b/>
          <w:sz w:val="20"/>
          <w:szCs w:val="20"/>
          <w:lang w:eastAsia="es-EC"/>
        </w:rPr>
        <w:t>posibles pérdidas esperadas en</w:t>
      </w:r>
      <w:r w:rsidRPr="0050759F">
        <w:rPr>
          <w:rFonts w:ascii="Arial" w:hAnsi="Arial" w:cs="Arial"/>
          <w:b/>
          <w:sz w:val="20"/>
          <w:szCs w:val="20"/>
          <w:lang w:eastAsia="es-EC"/>
        </w:rPr>
        <w:t xml:space="preserve"> activos financieros</w:t>
      </w:r>
    </w:p>
    <w:p w14:paraId="676AA93D" w14:textId="77777777" w:rsidR="00B80195" w:rsidRPr="0050759F" w:rsidRDefault="00B80195" w:rsidP="00B80195">
      <w:pPr>
        <w:ind w:left="567"/>
        <w:rPr>
          <w:rFonts w:ascii="Arial" w:hAnsi="Arial" w:cs="Arial"/>
          <w:sz w:val="20"/>
          <w:szCs w:val="20"/>
          <w:lang w:eastAsia="es-EC"/>
        </w:rPr>
      </w:pPr>
    </w:p>
    <w:p w14:paraId="01EB84DF" w14:textId="77777777"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en forma anual realiza una revisión del valor de los activos financieros y evalúa si existen riesgos sobre la recuperación de los mismos y en base a este análisis se realiza una provisión para el deterioro de los mismos. </w:t>
      </w:r>
    </w:p>
    <w:p w14:paraId="43550E37" w14:textId="77777777" w:rsidR="00B80195" w:rsidRPr="0050759F" w:rsidRDefault="00B80195" w:rsidP="00B80195">
      <w:pPr>
        <w:ind w:left="567"/>
        <w:rPr>
          <w:rFonts w:ascii="Arial" w:hAnsi="Arial" w:cs="Arial"/>
          <w:sz w:val="20"/>
          <w:szCs w:val="20"/>
          <w:lang w:eastAsia="es-EC"/>
        </w:rPr>
      </w:pPr>
    </w:p>
    <w:p w14:paraId="310F3E75" w14:textId="77777777"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considera que el monto de la provisión a la fecha de preparación de los estados financieros para los activos financieros es razonable. </w:t>
      </w:r>
    </w:p>
    <w:p w14:paraId="30DBDD41" w14:textId="77777777" w:rsidR="00B80195" w:rsidRDefault="00B80195" w:rsidP="00B80195">
      <w:pPr>
        <w:ind w:left="567"/>
        <w:jc w:val="both"/>
        <w:rPr>
          <w:rFonts w:ascii="Arial" w:hAnsi="Arial" w:cs="Arial"/>
          <w:sz w:val="20"/>
          <w:szCs w:val="20"/>
          <w:lang w:eastAsia="es-EC"/>
        </w:rPr>
      </w:pPr>
    </w:p>
    <w:p w14:paraId="6E8A6A35" w14:textId="77777777"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Estimación de las vidas útiles de las depreciaciones de mobiliario y equipo.</w:t>
      </w:r>
    </w:p>
    <w:p w14:paraId="4F19722F" w14:textId="77777777" w:rsidR="00B80195" w:rsidRPr="0050759F" w:rsidRDefault="00B80195" w:rsidP="00B80195">
      <w:pPr>
        <w:ind w:left="567"/>
        <w:rPr>
          <w:rFonts w:ascii="Arial" w:hAnsi="Arial" w:cs="Arial"/>
          <w:sz w:val="20"/>
          <w:szCs w:val="20"/>
          <w:lang w:eastAsia="es-EC"/>
        </w:rPr>
      </w:pPr>
    </w:p>
    <w:p w14:paraId="1E3E4387" w14:textId="398B14F8" w:rsidR="00B80195" w:rsidRPr="0050759F" w:rsidRDefault="00B80195" w:rsidP="00B80195">
      <w:pPr>
        <w:tabs>
          <w:tab w:val="left" w:pos="567"/>
        </w:tabs>
        <w:ind w:left="567"/>
        <w:jc w:val="both"/>
        <w:rPr>
          <w:rFonts w:ascii="Arial" w:hAnsi="Arial" w:cs="Arial"/>
          <w:sz w:val="20"/>
          <w:szCs w:val="20"/>
          <w:lang w:eastAsia="es-EC"/>
        </w:rPr>
      </w:pPr>
      <w:r>
        <w:rPr>
          <w:rFonts w:ascii="Arial" w:hAnsi="Arial" w:cs="Arial"/>
          <w:sz w:val="20"/>
          <w:szCs w:val="20"/>
          <w:lang w:eastAsia="es-EC"/>
        </w:rPr>
        <w:t xml:space="preserve">El mobiliario, vehículos </w:t>
      </w:r>
      <w:r w:rsidR="002D140F">
        <w:rPr>
          <w:rFonts w:ascii="Arial" w:hAnsi="Arial" w:cs="Arial"/>
          <w:sz w:val="20"/>
          <w:szCs w:val="20"/>
          <w:lang w:eastAsia="es-EC"/>
        </w:rPr>
        <w:t>y equipos</w:t>
      </w:r>
      <w:r w:rsidRPr="0050759F">
        <w:rPr>
          <w:rFonts w:ascii="Arial" w:hAnsi="Arial" w:cs="Arial"/>
          <w:sz w:val="20"/>
          <w:szCs w:val="20"/>
          <w:lang w:eastAsia="es-EC"/>
        </w:rPr>
        <w:t xml:space="preserve"> se contabilizan al costo y se deprecian por el método de línea recta y en base a las vidas útiles estimadas, las cuales son revisadas en forma anual, los cambios tecnológicos, el uso extensivo, entre otros factores pueden cambiar las estimaciones del método de depreciación y las vidas útiles pueden afectar estas estimaciones.</w:t>
      </w:r>
    </w:p>
    <w:p w14:paraId="55B14C56" w14:textId="77777777" w:rsidR="00B80195" w:rsidRPr="0050759F" w:rsidRDefault="00B80195" w:rsidP="00B80195">
      <w:pPr>
        <w:tabs>
          <w:tab w:val="left" w:pos="567"/>
        </w:tabs>
        <w:ind w:left="567"/>
        <w:jc w:val="both"/>
        <w:rPr>
          <w:rFonts w:ascii="Arial" w:hAnsi="Arial" w:cs="Arial"/>
          <w:sz w:val="20"/>
          <w:szCs w:val="20"/>
          <w:lang w:eastAsia="es-EC"/>
        </w:rPr>
      </w:pPr>
    </w:p>
    <w:p w14:paraId="0DCA6539" w14:textId="77777777"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La Compañía considera que el método de depreciación y las vidas útiles son razonables y existe evidencia de algún deterioro tecnológico.</w:t>
      </w:r>
    </w:p>
    <w:p w14:paraId="2899F75A" w14:textId="77777777" w:rsidR="00B80195" w:rsidRPr="0050759F" w:rsidRDefault="00B80195" w:rsidP="00B80195">
      <w:pPr>
        <w:tabs>
          <w:tab w:val="left" w:pos="567"/>
        </w:tabs>
        <w:jc w:val="both"/>
        <w:rPr>
          <w:rFonts w:ascii="Arial" w:hAnsi="Arial" w:cs="Arial"/>
          <w:sz w:val="20"/>
          <w:szCs w:val="20"/>
          <w:lang w:eastAsia="es-EC"/>
        </w:rPr>
      </w:pPr>
    </w:p>
    <w:p w14:paraId="35B301A7" w14:textId="77777777" w:rsidR="00B80195" w:rsidRPr="0050759F" w:rsidRDefault="00B80195" w:rsidP="00B80195">
      <w:pPr>
        <w:numPr>
          <w:ilvl w:val="0"/>
          <w:numId w:val="2"/>
        </w:numPr>
        <w:tabs>
          <w:tab w:val="left" w:pos="567"/>
        </w:tabs>
        <w:ind w:left="567" w:hanging="567"/>
        <w:jc w:val="both"/>
        <w:rPr>
          <w:rFonts w:ascii="Arial" w:hAnsi="Arial" w:cs="Arial"/>
          <w:b/>
          <w:bCs/>
          <w:sz w:val="20"/>
          <w:szCs w:val="20"/>
        </w:rPr>
      </w:pPr>
      <w:r w:rsidRPr="0050759F">
        <w:rPr>
          <w:rFonts w:ascii="Arial" w:hAnsi="Arial" w:cs="Arial"/>
          <w:b/>
          <w:bCs/>
          <w:sz w:val="20"/>
          <w:szCs w:val="20"/>
        </w:rPr>
        <w:t>Deterioro de activos de larga vida</w:t>
      </w:r>
    </w:p>
    <w:p w14:paraId="2F5321DC" w14:textId="77777777" w:rsidR="00B80195" w:rsidRPr="0050759F" w:rsidRDefault="00B80195" w:rsidP="00B80195">
      <w:pPr>
        <w:tabs>
          <w:tab w:val="left" w:pos="567"/>
        </w:tabs>
        <w:autoSpaceDE w:val="0"/>
        <w:autoSpaceDN w:val="0"/>
        <w:adjustRightInd w:val="0"/>
        <w:ind w:left="567"/>
        <w:jc w:val="both"/>
        <w:rPr>
          <w:rFonts w:ascii="Arial" w:hAnsi="Arial" w:cs="Arial"/>
          <w:b/>
          <w:bCs/>
          <w:sz w:val="20"/>
          <w:szCs w:val="20"/>
        </w:rPr>
      </w:pPr>
    </w:p>
    <w:p w14:paraId="2346C59F" w14:textId="77777777"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La Compañía al finalizar cada período contable, analiza sus resultados y operaciones para validar el valor de los activos de larga vida y determinar si existen indicios de que dichos activos han sufrido una pérdida por deterioro. En caso de que exista algún indicio se realiza una estimación del importe recuperable de dicho activo, para lo cual se estiman los flujos de efectivo (valor de uso) de forma independiente; por </w:t>
      </w:r>
      <w:proofErr w:type="gramStart"/>
      <w:r w:rsidRPr="0050759F">
        <w:rPr>
          <w:rFonts w:ascii="Arial" w:hAnsi="Arial" w:cs="Arial"/>
          <w:sz w:val="20"/>
          <w:szCs w:val="20"/>
        </w:rPr>
        <w:t>ende</w:t>
      </w:r>
      <w:proofErr w:type="gramEnd"/>
      <w:r w:rsidRPr="0050759F">
        <w:rPr>
          <w:rFonts w:ascii="Arial" w:hAnsi="Arial" w:cs="Arial"/>
          <w:sz w:val="20"/>
          <w:szCs w:val="20"/>
        </w:rPr>
        <w:t xml:space="preserve"> la recuperabilidad de la unidad generadora de efectivo a la que pertenece el activo.</w:t>
      </w:r>
    </w:p>
    <w:p w14:paraId="54016451" w14:textId="77777777"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lastRenderedPageBreak/>
        <w:t>El cálculo del valor en uso requiere que la Compañía determine los flujos de efectivo futuros que deberían surgir de las unidades generadoras de efectivo y una tasa de descuento apropiada para calcular el valor presente.</w:t>
      </w:r>
    </w:p>
    <w:p w14:paraId="547264BF" w14:textId="77777777" w:rsidR="00F01F91" w:rsidRDefault="00F01F91" w:rsidP="00B80195">
      <w:pPr>
        <w:autoSpaceDE w:val="0"/>
        <w:autoSpaceDN w:val="0"/>
        <w:adjustRightInd w:val="0"/>
        <w:ind w:left="567"/>
        <w:jc w:val="both"/>
        <w:rPr>
          <w:rFonts w:ascii="Arial" w:hAnsi="Arial" w:cs="Arial"/>
          <w:sz w:val="20"/>
          <w:szCs w:val="20"/>
        </w:rPr>
      </w:pPr>
    </w:p>
    <w:p w14:paraId="438FCDC0" w14:textId="77777777"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En el caso de que el importe recuperable sea inferior al valor neto en libros del activo, se registra la correspondiente pérdida por deterioro, con cargo a resultados y son revertidas en los resultados cuando se produce un cambio en las estimaciones </w:t>
      </w:r>
    </w:p>
    <w:p w14:paraId="7ED51AD5" w14:textId="77777777" w:rsidR="00B80195" w:rsidRDefault="00B80195" w:rsidP="00B80195">
      <w:pPr>
        <w:tabs>
          <w:tab w:val="left" w:pos="567"/>
        </w:tabs>
        <w:ind w:left="567"/>
        <w:jc w:val="both"/>
        <w:rPr>
          <w:rFonts w:ascii="Arial" w:hAnsi="Arial" w:cs="Arial"/>
          <w:sz w:val="20"/>
          <w:szCs w:val="20"/>
          <w:lang w:eastAsia="es-EC"/>
        </w:rPr>
      </w:pPr>
    </w:p>
    <w:p w14:paraId="507366A6" w14:textId="77777777"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Beneficios post empleo</w:t>
      </w:r>
    </w:p>
    <w:p w14:paraId="7635BF26" w14:textId="77777777" w:rsidR="00B80195" w:rsidRPr="0050759F" w:rsidRDefault="00B80195" w:rsidP="00B80195">
      <w:pPr>
        <w:tabs>
          <w:tab w:val="left" w:pos="567"/>
        </w:tabs>
        <w:ind w:left="567"/>
        <w:rPr>
          <w:rFonts w:ascii="Arial" w:hAnsi="Arial" w:cs="Arial"/>
          <w:sz w:val="20"/>
          <w:szCs w:val="20"/>
          <w:lang w:eastAsia="es-EC"/>
        </w:rPr>
      </w:pPr>
    </w:p>
    <w:p w14:paraId="06F314A3" w14:textId="77777777"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El cálculo actuarial efectuado por un especialista externo es en base al método de la unidad de crédito proyectada para determinar el valor presente de sus obligaciones por beneficios definidos. En el cálculo se utilizan suposiciones demográficas y financieras.</w:t>
      </w:r>
    </w:p>
    <w:p w14:paraId="366B6032" w14:textId="77777777" w:rsidR="00B80195" w:rsidRPr="0050759F" w:rsidRDefault="00B80195" w:rsidP="00B80195">
      <w:pPr>
        <w:tabs>
          <w:tab w:val="left" w:pos="1134"/>
        </w:tabs>
        <w:ind w:left="1134"/>
        <w:rPr>
          <w:rFonts w:ascii="Arial" w:hAnsi="Arial" w:cs="Arial"/>
          <w:sz w:val="20"/>
          <w:szCs w:val="20"/>
        </w:rPr>
      </w:pPr>
    </w:p>
    <w:p w14:paraId="505633BB" w14:textId="77777777"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demográficas acerca de las características de los empleados actuales y pasados que puedan recibir los beneficios. Las suposiciones demográficas son: (i) tasa promedio de sueldos a largo plazo; (</w:t>
      </w:r>
      <w:proofErr w:type="spellStart"/>
      <w:r w:rsidRPr="0050759F">
        <w:rPr>
          <w:rFonts w:ascii="Arial" w:hAnsi="Arial" w:cs="Arial"/>
          <w:color w:val="auto"/>
          <w:w w:val="100"/>
          <w:sz w:val="20"/>
          <w:szCs w:val="20"/>
          <w:lang w:val="es-ES"/>
        </w:rPr>
        <w:t>ii</w:t>
      </w:r>
      <w:proofErr w:type="spellEnd"/>
      <w:r w:rsidRPr="0050759F">
        <w:rPr>
          <w:rFonts w:ascii="Arial" w:hAnsi="Arial" w:cs="Arial"/>
          <w:color w:val="auto"/>
          <w:w w:val="100"/>
          <w:sz w:val="20"/>
          <w:szCs w:val="20"/>
          <w:lang w:val="es-ES"/>
        </w:rPr>
        <w:t>) tasa interés actual; (</w:t>
      </w:r>
      <w:proofErr w:type="spellStart"/>
      <w:r w:rsidRPr="0050759F">
        <w:rPr>
          <w:rFonts w:ascii="Arial" w:hAnsi="Arial" w:cs="Arial"/>
          <w:color w:val="auto"/>
          <w:w w:val="100"/>
          <w:sz w:val="20"/>
          <w:szCs w:val="20"/>
          <w:lang w:val="es-ES"/>
        </w:rPr>
        <w:t>iii</w:t>
      </w:r>
      <w:proofErr w:type="spellEnd"/>
      <w:r w:rsidRPr="0050759F">
        <w:rPr>
          <w:rFonts w:ascii="Arial" w:hAnsi="Arial" w:cs="Arial"/>
          <w:color w:val="auto"/>
          <w:w w:val="100"/>
          <w:sz w:val="20"/>
          <w:szCs w:val="20"/>
          <w:lang w:val="es-ES"/>
        </w:rPr>
        <w:t>) tasa descuento financiero; (</w:t>
      </w:r>
      <w:proofErr w:type="spellStart"/>
      <w:r w:rsidRPr="0050759F">
        <w:rPr>
          <w:rFonts w:ascii="Arial" w:hAnsi="Arial" w:cs="Arial"/>
          <w:color w:val="auto"/>
          <w:w w:val="100"/>
          <w:sz w:val="20"/>
          <w:szCs w:val="20"/>
          <w:lang w:val="es-ES"/>
        </w:rPr>
        <w:t>iv</w:t>
      </w:r>
      <w:proofErr w:type="spellEnd"/>
      <w:r w:rsidRPr="0050759F">
        <w:rPr>
          <w:rFonts w:ascii="Arial" w:hAnsi="Arial" w:cs="Arial"/>
          <w:color w:val="auto"/>
          <w:w w:val="100"/>
          <w:sz w:val="20"/>
          <w:szCs w:val="20"/>
          <w:lang w:val="es-ES"/>
        </w:rPr>
        <w:t xml:space="preserve">) tasa inflación </w:t>
      </w:r>
      <w:proofErr w:type="gramStart"/>
      <w:r w:rsidRPr="0050759F">
        <w:rPr>
          <w:rFonts w:ascii="Arial" w:hAnsi="Arial" w:cs="Arial"/>
          <w:color w:val="auto"/>
          <w:w w:val="100"/>
          <w:sz w:val="20"/>
          <w:szCs w:val="20"/>
          <w:lang w:val="es-ES"/>
        </w:rPr>
        <w:t>anual;  (</w:t>
      </w:r>
      <w:proofErr w:type="gramEnd"/>
      <w:r w:rsidRPr="0050759F">
        <w:rPr>
          <w:rFonts w:ascii="Arial" w:hAnsi="Arial" w:cs="Arial"/>
          <w:color w:val="auto"/>
          <w:w w:val="100"/>
          <w:sz w:val="20"/>
          <w:szCs w:val="20"/>
          <w:lang w:val="es-ES"/>
        </w:rPr>
        <w:t>v) tasa de rendimiento de los activos de plan.</w:t>
      </w:r>
    </w:p>
    <w:p w14:paraId="160B7769" w14:textId="77777777"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financieras, tienen relación con los siguientes elementos: (a) la tasa de descuento; y, (b) los niveles de beneficio a satisfacer a los empleados y salarios futuros.</w:t>
      </w:r>
    </w:p>
    <w:p w14:paraId="50F0AEE4" w14:textId="77777777" w:rsidR="00B80195" w:rsidRPr="0050759F" w:rsidRDefault="00B80195" w:rsidP="00B80195">
      <w:pPr>
        <w:pStyle w:val="loweralpha1level1"/>
        <w:tabs>
          <w:tab w:val="clear" w:pos="420"/>
          <w:tab w:val="left" w:pos="1701"/>
        </w:tabs>
        <w:spacing w:after="0" w:line="240" w:lineRule="auto"/>
        <w:ind w:left="567" w:firstLine="0"/>
        <w:rPr>
          <w:rFonts w:ascii="Arial" w:hAnsi="Arial" w:cs="Arial"/>
          <w:color w:val="auto"/>
          <w:w w:val="100"/>
          <w:sz w:val="20"/>
          <w:szCs w:val="20"/>
          <w:lang w:val="es-ES"/>
        </w:rPr>
      </w:pPr>
    </w:p>
    <w:p w14:paraId="3C724010" w14:textId="77777777" w:rsidR="00B80195" w:rsidRPr="0050759F" w:rsidRDefault="00B80195" w:rsidP="00B80195">
      <w:pPr>
        <w:numPr>
          <w:ilvl w:val="0"/>
          <w:numId w:val="2"/>
        </w:numPr>
        <w:tabs>
          <w:tab w:val="left" w:pos="567"/>
        </w:tabs>
        <w:ind w:left="567" w:hanging="567"/>
        <w:jc w:val="both"/>
        <w:rPr>
          <w:rFonts w:ascii="Arial" w:hAnsi="Arial" w:cs="Arial"/>
          <w:b/>
          <w:bCs/>
          <w:sz w:val="20"/>
          <w:szCs w:val="20"/>
        </w:rPr>
      </w:pPr>
      <w:bookmarkStart w:id="3" w:name="_Toc386654209"/>
      <w:r w:rsidRPr="0050759F">
        <w:rPr>
          <w:rFonts w:ascii="Arial" w:hAnsi="Arial" w:cs="Arial"/>
          <w:b/>
          <w:bCs/>
          <w:sz w:val="20"/>
          <w:szCs w:val="20"/>
        </w:rPr>
        <w:t>Estimación para cubrir litigios</w:t>
      </w:r>
      <w:bookmarkEnd w:id="3"/>
    </w:p>
    <w:p w14:paraId="06107A7C" w14:textId="77777777" w:rsidR="00B80195" w:rsidRPr="0050759F" w:rsidRDefault="00B80195" w:rsidP="00B80195">
      <w:pPr>
        <w:tabs>
          <w:tab w:val="left" w:pos="567"/>
        </w:tabs>
        <w:ind w:left="567"/>
        <w:rPr>
          <w:rFonts w:ascii="Arial" w:hAnsi="Arial" w:cs="Arial"/>
          <w:sz w:val="20"/>
          <w:szCs w:val="20"/>
          <w:lang w:eastAsia="es-EC"/>
        </w:rPr>
      </w:pPr>
    </w:p>
    <w:p w14:paraId="4137A443" w14:textId="77777777"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La Entidad reconoce, obligaciones de aquellos sucesos de tipo legal o implícito para la Compañía; estos sucesos son reconocidos cuando:</w:t>
      </w:r>
    </w:p>
    <w:p w14:paraId="0EA5878B" w14:textId="77777777"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t xml:space="preserve">La entidad tenga una obligación en la fecha sobre la que se informa como resultado </w:t>
      </w:r>
      <w:proofErr w:type="gramStart"/>
      <w:r w:rsidRPr="0050759F">
        <w:rPr>
          <w:rFonts w:ascii="Arial" w:hAnsi="Arial" w:cs="Arial"/>
          <w:sz w:val="20"/>
          <w:szCs w:val="20"/>
          <w:lang w:eastAsia="es-EC"/>
        </w:rPr>
        <w:t>de  un</w:t>
      </w:r>
      <w:proofErr w:type="gramEnd"/>
      <w:r w:rsidRPr="0050759F">
        <w:rPr>
          <w:rFonts w:ascii="Arial" w:hAnsi="Arial" w:cs="Arial"/>
          <w:sz w:val="20"/>
          <w:szCs w:val="20"/>
          <w:lang w:eastAsia="es-EC"/>
        </w:rPr>
        <w:t xml:space="preserve"> suceso pasado.</w:t>
      </w:r>
    </w:p>
    <w:p w14:paraId="7F4D93DE" w14:textId="77777777"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t>Cuando sea probable que la entidad tenga que desprenderse de recursos o beneficios económicos, para liquidar la obligación; y,</w:t>
      </w:r>
    </w:p>
    <w:p w14:paraId="5E2EAA93" w14:textId="77777777" w:rsidR="00B80195" w:rsidRPr="0050759F" w:rsidRDefault="00B80195" w:rsidP="00161D0E">
      <w:pPr>
        <w:numPr>
          <w:ilvl w:val="0"/>
          <w:numId w:val="20"/>
        </w:numPr>
        <w:tabs>
          <w:tab w:val="left" w:pos="1134"/>
        </w:tabs>
        <w:ind w:left="1134" w:hanging="567"/>
        <w:rPr>
          <w:rFonts w:ascii="Arial" w:hAnsi="Arial" w:cs="Arial"/>
          <w:w w:val="104"/>
          <w:sz w:val="20"/>
          <w:szCs w:val="20"/>
          <w:lang w:val="es-EC"/>
        </w:rPr>
      </w:pPr>
      <w:r w:rsidRPr="0050759F">
        <w:rPr>
          <w:rFonts w:ascii="Arial" w:hAnsi="Arial" w:cs="Arial"/>
          <w:sz w:val="20"/>
          <w:szCs w:val="20"/>
          <w:lang w:eastAsia="es-EC"/>
        </w:rPr>
        <w:t>El importe</w:t>
      </w:r>
      <w:r w:rsidRPr="0050759F">
        <w:rPr>
          <w:rFonts w:ascii="Arial" w:hAnsi="Arial" w:cs="Arial"/>
          <w:w w:val="104"/>
          <w:sz w:val="20"/>
          <w:szCs w:val="20"/>
          <w:lang w:val="es-EC"/>
        </w:rPr>
        <w:t xml:space="preserve"> de la obligación pueda ser estimado de forma fiable.</w:t>
      </w:r>
    </w:p>
    <w:p w14:paraId="3F52BE37" w14:textId="77777777" w:rsidR="00B80195" w:rsidRPr="0050759F" w:rsidRDefault="00B80195" w:rsidP="00B80195">
      <w:pPr>
        <w:tabs>
          <w:tab w:val="left" w:pos="567"/>
        </w:tabs>
        <w:ind w:left="567"/>
        <w:rPr>
          <w:rFonts w:ascii="Arial" w:hAnsi="Arial" w:cs="Arial"/>
          <w:sz w:val="20"/>
          <w:szCs w:val="20"/>
          <w:lang w:eastAsia="es-EC"/>
        </w:rPr>
      </w:pPr>
    </w:p>
    <w:p w14:paraId="645824A3" w14:textId="77777777"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Se reconoce la provisión como un pasivo en el estado de situación financiera y como un gasto en el estado de resultados del período.</w:t>
      </w:r>
    </w:p>
    <w:p w14:paraId="24826732" w14:textId="77777777" w:rsidR="007E74A5" w:rsidRDefault="007E74A5" w:rsidP="00B80195">
      <w:pPr>
        <w:jc w:val="both"/>
        <w:rPr>
          <w:rFonts w:ascii="Arial" w:hAnsi="Arial" w:cs="Arial"/>
          <w:sz w:val="20"/>
          <w:szCs w:val="20"/>
        </w:rPr>
      </w:pPr>
    </w:p>
    <w:p w14:paraId="39BDA4CF" w14:textId="77777777" w:rsidR="00B80195" w:rsidRPr="005163D8" w:rsidRDefault="00B80195" w:rsidP="00161D0E">
      <w:pPr>
        <w:pStyle w:val="Cuerpodeltexto20"/>
        <w:numPr>
          <w:ilvl w:val="0"/>
          <w:numId w:val="7"/>
        </w:numPr>
        <w:shd w:val="clear" w:color="auto" w:fill="auto"/>
        <w:spacing w:line="240" w:lineRule="auto"/>
        <w:ind w:left="567" w:hanging="567"/>
        <w:jc w:val="both"/>
        <w:rPr>
          <w:b/>
          <w:sz w:val="20"/>
          <w:szCs w:val="20"/>
        </w:rPr>
      </w:pPr>
      <w:r w:rsidRPr="005163D8">
        <w:rPr>
          <w:b/>
          <w:sz w:val="20"/>
          <w:szCs w:val="20"/>
        </w:rPr>
        <w:t>Impuesto a la renta diferido</w:t>
      </w:r>
    </w:p>
    <w:p w14:paraId="3B686327" w14:textId="77777777" w:rsidR="00B80195" w:rsidRPr="005163D8" w:rsidRDefault="00B80195" w:rsidP="00B80195">
      <w:pPr>
        <w:pStyle w:val="Cuerpodeltexto20"/>
        <w:shd w:val="clear" w:color="auto" w:fill="auto"/>
        <w:spacing w:line="240" w:lineRule="auto"/>
        <w:ind w:firstLine="0"/>
        <w:jc w:val="both"/>
        <w:rPr>
          <w:sz w:val="20"/>
          <w:szCs w:val="20"/>
        </w:rPr>
      </w:pPr>
    </w:p>
    <w:p w14:paraId="2EB0B3B9" w14:textId="77777777"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Compañía ha realizado la estimación de sus impuestos diferidos considerando que todas las diferencias entre el valor en libros y la base tributaria de los activos y pasivos se revertirán en el futuro.</w:t>
      </w:r>
    </w:p>
    <w:p w14:paraId="4BEB90E8" w14:textId="77777777" w:rsidR="00B80195" w:rsidRPr="005163D8" w:rsidRDefault="00B80195" w:rsidP="00B80195">
      <w:pPr>
        <w:pStyle w:val="Cuerpodeltexto20"/>
        <w:shd w:val="clear" w:color="auto" w:fill="auto"/>
        <w:spacing w:line="240" w:lineRule="auto"/>
        <w:ind w:firstLine="0"/>
        <w:jc w:val="both"/>
        <w:rPr>
          <w:sz w:val="20"/>
          <w:szCs w:val="20"/>
        </w:rPr>
      </w:pPr>
    </w:p>
    <w:p w14:paraId="2722DFD0" w14:textId="77777777"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tasa de impuesto a la renta usada para determinar los activos y pasivos por impuestos diferidos es calculada aplicando la tasa de impuesto a la renta vigente a la fecha de cierre del periodo sobre el que se informa.</w:t>
      </w:r>
    </w:p>
    <w:p w14:paraId="7FF0E5A2" w14:textId="77777777" w:rsidR="00B80195" w:rsidRPr="005163D8" w:rsidRDefault="00B80195" w:rsidP="00B80195">
      <w:pPr>
        <w:pStyle w:val="Cuerpodeltexto20"/>
        <w:shd w:val="clear" w:color="auto" w:fill="auto"/>
        <w:spacing w:line="240" w:lineRule="auto"/>
        <w:ind w:firstLine="0"/>
        <w:jc w:val="both"/>
        <w:rPr>
          <w:sz w:val="20"/>
          <w:szCs w:val="20"/>
        </w:rPr>
      </w:pPr>
    </w:p>
    <w:p w14:paraId="57A66519" w14:textId="77777777" w:rsidR="00B80195" w:rsidRDefault="00B80195" w:rsidP="00B80195">
      <w:pPr>
        <w:pStyle w:val="Cuerpodeltexto20"/>
        <w:shd w:val="clear" w:color="auto" w:fill="auto"/>
        <w:spacing w:line="240" w:lineRule="auto"/>
        <w:ind w:left="567" w:firstLine="0"/>
        <w:jc w:val="both"/>
        <w:rPr>
          <w:sz w:val="20"/>
          <w:szCs w:val="20"/>
        </w:rPr>
      </w:pPr>
      <w:r w:rsidRPr="005163D8">
        <w:rPr>
          <w:sz w:val="20"/>
          <w:szCs w:val="20"/>
        </w:rPr>
        <w:t xml:space="preserve">Los activos por impuesto a la renta diferidos, se deben reconocer en el balance general, los activos diferidos de impuesto a la renta que se derivan de las pérdidas tributarias no amortizadas, el tratamiento contable de las inversiones en desarrollo y los beneficios laborales de largo plazo las cuales requieren ser evaluados por la administración para definir la probabilidad de que la Compañía pueda generar suficientes ganancias gravables en ejercicios futuros, a fin de utilizar los activos diferidos del impuesto a la renta reconocidos. Las suposiciones sobre la generación de ganancias gravables futuras dependen de las estimaciones realizadas por la Administración de los flujos de efectivo futuros. Las cuales se basan en los flujos de efectivo proyectados de las operaciones (que se ven afectados por los volúmenes de producción y ventas, precios del petróleo, reservas, costos de operación, costos de abandono, gastos de capital, dividendos y </w:t>
      </w:r>
      <w:r w:rsidRPr="005163D8">
        <w:rPr>
          <w:sz w:val="20"/>
          <w:szCs w:val="20"/>
        </w:rPr>
        <w:lastRenderedPageBreak/>
        <w:t>otras operaciones de gestión del capital) y el criterio sobre la aplicación de las leyes tributarias existentes. En la medida en que los flujos de efectivo futuros y las ganancias gravables difieran significativamente de las estimaciones, podría verse afectada la capacidad de la Compañía de realizar los activos diferidos netos del impuesto a la renta reportado.</w:t>
      </w:r>
    </w:p>
    <w:p w14:paraId="13370DDE" w14:textId="77777777" w:rsidR="00CB6667" w:rsidRDefault="00CB6667" w:rsidP="00A44682">
      <w:pPr>
        <w:ind w:left="709"/>
        <w:jc w:val="both"/>
        <w:rPr>
          <w:rFonts w:ascii="Arial" w:hAnsi="Arial" w:cs="Arial"/>
          <w:b/>
          <w:sz w:val="20"/>
          <w:szCs w:val="20"/>
          <w:u w:val="single"/>
        </w:rPr>
      </w:pPr>
    </w:p>
    <w:p w14:paraId="258143A1" w14:textId="662421F1" w:rsidR="00A44682" w:rsidRPr="00C310E8" w:rsidRDefault="00A44682" w:rsidP="00A44682">
      <w:pPr>
        <w:ind w:left="709"/>
        <w:jc w:val="both"/>
        <w:rPr>
          <w:rFonts w:ascii="Arial" w:hAnsi="Arial" w:cs="Arial"/>
          <w:b/>
          <w:sz w:val="20"/>
          <w:szCs w:val="20"/>
          <w:u w:val="single"/>
        </w:rPr>
      </w:pPr>
      <w:r>
        <w:rPr>
          <w:rFonts w:ascii="Arial" w:hAnsi="Arial" w:cs="Arial"/>
          <w:b/>
          <w:sz w:val="20"/>
          <w:szCs w:val="20"/>
          <w:u w:val="single"/>
        </w:rPr>
        <w:t>Normas aun no vigentes</w:t>
      </w:r>
    </w:p>
    <w:p w14:paraId="6B0C3F44" w14:textId="77777777" w:rsidR="00A44682" w:rsidRDefault="00A44682" w:rsidP="00A44682">
      <w:pPr>
        <w:ind w:left="709"/>
        <w:jc w:val="both"/>
        <w:rPr>
          <w:rFonts w:ascii="Arial" w:hAnsi="Arial" w:cs="Arial"/>
          <w:sz w:val="20"/>
          <w:szCs w:val="20"/>
        </w:rPr>
      </w:pPr>
    </w:p>
    <w:p w14:paraId="4FE4145B" w14:textId="3475A8A7" w:rsidR="00A44682" w:rsidRDefault="00A44682" w:rsidP="00A44682">
      <w:pPr>
        <w:ind w:left="709"/>
        <w:jc w:val="both"/>
        <w:rPr>
          <w:rFonts w:ascii="Arial" w:hAnsi="Arial" w:cs="Arial"/>
          <w:sz w:val="20"/>
          <w:szCs w:val="20"/>
        </w:rPr>
      </w:pPr>
      <w:r>
        <w:rPr>
          <w:rFonts w:ascii="Arial" w:hAnsi="Arial" w:cs="Arial"/>
          <w:sz w:val="20"/>
          <w:szCs w:val="20"/>
        </w:rPr>
        <w:t xml:space="preserve">Las modificaciones y enmiendas de las Normas Internacionales de Información Financieras para PYMES al 31 de diciembre del </w:t>
      </w:r>
      <w:r w:rsidR="00C03AB5">
        <w:rPr>
          <w:rFonts w:ascii="Arial" w:hAnsi="Arial" w:cs="Arial"/>
          <w:sz w:val="20"/>
          <w:szCs w:val="20"/>
        </w:rPr>
        <w:t>2024</w:t>
      </w:r>
      <w:r>
        <w:rPr>
          <w:rFonts w:ascii="Arial" w:hAnsi="Arial" w:cs="Arial"/>
          <w:sz w:val="20"/>
          <w:szCs w:val="20"/>
        </w:rPr>
        <w:t xml:space="preserve">, las cuales aún no tienen una fecha de aplicación; son como sigue: </w:t>
      </w:r>
    </w:p>
    <w:p w14:paraId="7BEDBC40" w14:textId="77777777" w:rsidR="00A44682" w:rsidRDefault="00A44682" w:rsidP="00A44682">
      <w:pPr>
        <w:ind w:left="709"/>
        <w:jc w:val="both"/>
        <w:rPr>
          <w:rFonts w:ascii="Arial" w:hAnsi="Arial" w:cs="Arial"/>
          <w:sz w:val="20"/>
          <w:szCs w:val="20"/>
        </w:rPr>
      </w:pPr>
    </w:p>
    <w:p w14:paraId="6A5BD13E"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 — Entidades pequeñas y medianas</w:t>
      </w:r>
    </w:p>
    <w:p w14:paraId="5F772A3D"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3 — Presentación del estado financiero</w:t>
      </w:r>
    </w:p>
    <w:p w14:paraId="799C4385"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4 — Estado de Posición Financiera</w:t>
      </w:r>
    </w:p>
    <w:p w14:paraId="7AD72B97"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5 — Estado de resultados integrales y Estado de ingresos</w:t>
      </w:r>
    </w:p>
    <w:p w14:paraId="2BB03DD0"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6 — Estado de cambios en el patrimonio y estado de ingresos y ganancias retenidas</w:t>
      </w:r>
    </w:p>
    <w:p w14:paraId="23401514"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7 — Estado de flujo de efectivo</w:t>
      </w:r>
    </w:p>
    <w:p w14:paraId="6C7562CD"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8 — Notas a los Estados Financieros</w:t>
      </w:r>
    </w:p>
    <w:p w14:paraId="6E5C37B3"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11 — Instrumentos financieros básicos</w:t>
      </w:r>
    </w:p>
    <w:p w14:paraId="62D1B726"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12 — Otros asuntos relacionados con instrumentos financieros</w:t>
      </w:r>
    </w:p>
    <w:p w14:paraId="226C2704"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13 — Inventarios</w:t>
      </w:r>
    </w:p>
    <w:p w14:paraId="2A2181BF"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14 — Inversiones en Asociadas</w:t>
      </w:r>
    </w:p>
    <w:p w14:paraId="627B4630"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 xml:space="preserve">Sección 15 — Inversiones en negocios conjuntos </w:t>
      </w:r>
    </w:p>
    <w:p w14:paraId="2E409C6B"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17 — Propiedades, planta y equipo</w:t>
      </w:r>
    </w:p>
    <w:p w14:paraId="7FBD8DCF"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24 — Subvenciones del gobierno</w:t>
      </w:r>
    </w:p>
    <w:p w14:paraId="25F62F58"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25 — Costos de los préstamos</w:t>
      </w:r>
    </w:p>
    <w:p w14:paraId="7083013B"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 xml:space="preserve">Sección 27 — Deterioro del valor de los activos </w:t>
      </w:r>
    </w:p>
    <w:p w14:paraId="6CD33276"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 xml:space="preserve">Sección 30 — Conversión de moneda extranjera </w:t>
      </w:r>
    </w:p>
    <w:p w14:paraId="7D43C6C9"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 xml:space="preserve">Sección 31 — Hiperinflación </w:t>
      </w:r>
    </w:p>
    <w:p w14:paraId="2C2DF8D8" w14:textId="77777777" w:rsidR="00A44682" w:rsidRDefault="00A44682" w:rsidP="00A44682">
      <w:pPr>
        <w:ind w:left="709"/>
        <w:rPr>
          <w:rFonts w:ascii="Arial" w:hAnsi="Arial" w:cs="Arial"/>
          <w:sz w:val="20"/>
          <w:szCs w:val="20"/>
          <w:lang w:eastAsia="x-none"/>
        </w:rPr>
      </w:pPr>
      <w:r>
        <w:rPr>
          <w:rFonts w:ascii="Arial" w:hAnsi="Arial" w:cs="Arial"/>
          <w:sz w:val="20"/>
          <w:szCs w:val="20"/>
          <w:lang w:eastAsia="x-none"/>
        </w:rPr>
        <w:t>Sección 32 — Eventos después del final del período de informe</w:t>
      </w:r>
    </w:p>
    <w:p w14:paraId="7AB038A1" w14:textId="77777777" w:rsidR="00A44682" w:rsidRDefault="00A44682" w:rsidP="00A44682">
      <w:pPr>
        <w:ind w:left="709"/>
        <w:rPr>
          <w:rFonts w:ascii="Arial" w:hAnsi="Arial" w:cs="Arial"/>
          <w:sz w:val="20"/>
          <w:szCs w:val="20"/>
          <w:lang w:val="es-EC" w:eastAsia="x-none"/>
        </w:rPr>
      </w:pPr>
    </w:p>
    <w:p w14:paraId="5579613D" w14:textId="77777777" w:rsidR="00A44682" w:rsidRDefault="00A44682" w:rsidP="00A44682">
      <w:pPr>
        <w:ind w:left="709"/>
        <w:jc w:val="both"/>
        <w:rPr>
          <w:rFonts w:ascii="Arial" w:hAnsi="Arial" w:cs="Arial"/>
          <w:sz w:val="20"/>
          <w:szCs w:val="20"/>
        </w:rPr>
      </w:pPr>
      <w:r>
        <w:rPr>
          <w:rFonts w:ascii="Arial" w:hAnsi="Arial" w:cs="Arial"/>
          <w:sz w:val="20"/>
          <w:szCs w:val="20"/>
        </w:rPr>
        <w:t>Los cambios en las secciones antes mencionadas no van a ser implementadas por la Compañía en forma anticipada.</w:t>
      </w:r>
    </w:p>
    <w:p w14:paraId="2C94389A" w14:textId="77777777" w:rsidR="007E74A5" w:rsidRDefault="007E74A5" w:rsidP="00B80195">
      <w:pPr>
        <w:rPr>
          <w:rFonts w:ascii="Arial" w:hAnsi="Arial" w:cs="Arial"/>
          <w:b/>
          <w:sz w:val="20"/>
          <w:szCs w:val="20"/>
          <w:lang w:eastAsia="es-EC"/>
        </w:rPr>
      </w:pPr>
    </w:p>
    <w:p w14:paraId="4D4C44CF" w14:textId="77777777" w:rsidR="00B80195" w:rsidRPr="000D1A16" w:rsidRDefault="00B80195" w:rsidP="00B80195">
      <w:pPr>
        <w:rPr>
          <w:rFonts w:ascii="Arial" w:hAnsi="Arial" w:cs="Arial"/>
          <w:b/>
          <w:sz w:val="20"/>
          <w:szCs w:val="20"/>
          <w:lang w:eastAsia="es-EC"/>
        </w:rPr>
      </w:pPr>
      <w:r w:rsidRPr="000D1A16">
        <w:rPr>
          <w:rFonts w:ascii="Arial" w:hAnsi="Arial" w:cs="Arial"/>
          <w:b/>
          <w:sz w:val="20"/>
          <w:szCs w:val="20"/>
          <w:lang w:eastAsia="es-EC"/>
        </w:rPr>
        <w:t>NOTA</w:t>
      </w:r>
      <w:r>
        <w:rPr>
          <w:rFonts w:ascii="Arial" w:hAnsi="Arial" w:cs="Arial"/>
          <w:b/>
          <w:sz w:val="20"/>
          <w:szCs w:val="20"/>
          <w:lang w:eastAsia="es-EC"/>
        </w:rPr>
        <w:t xml:space="preserve"> 5</w:t>
      </w:r>
      <w:r w:rsidRPr="000D1A16">
        <w:rPr>
          <w:rFonts w:ascii="Arial" w:hAnsi="Arial" w:cs="Arial"/>
          <w:b/>
          <w:sz w:val="20"/>
          <w:szCs w:val="20"/>
          <w:lang w:eastAsia="es-EC"/>
        </w:rPr>
        <w:t xml:space="preserve"> - INSTRUMENTOS FINANCIEROS</w:t>
      </w:r>
    </w:p>
    <w:p w14:paraId="01F8A360" w14:textId="77777777" w:rsidR="00B80195" w:rsidRPr="000D1A16" w:rsidRDefault="00B80195" w:rsidP="00B80195">
      <w:pPr>
        <w:rPr>
          <w:rFonts w:ascii="Arial" w:hAnsi="Arial" w:cs="Arial"/>
          <w:bCs/>
          <w:sz w:val="20"/>
          <w:szCs w:val="20"/>
        </w:rPr>
      </w:pPr>
    </w:p>
    <w:p w14:paraId="3AA05C1D" w14:textId="134E3C93" w:rsidR="00B80195" w:rsidRPr="00692A84" w:rsidRDefault="00B80195" w:rsidP="00B80195">
      <w:pPr>
        <w:jc w:val="both"/>
        <w:rPr>
          <w:rFonts w:ascii="Arial" w:hAnsi="Arial" w:cs="Arial"/>
          <w:bCs/>
          <w:sz w:val="20"/>
          <w:szCs w:val="20"/>
        </w:rPr>
      </w:pPr>
      <w:r>
        <w:rPr>
          <w:rFonts w:ascii="Arial" w:hAnsi="Arial" w:cs="Arial"/>
          <w:bCs/>
          <w:sz w:val="20"/>
          <w:szCs w:val="20"/>
        </w:rPr>
        <w:t>Los</w:t>
      </w:r>
      <w:r w:rsidRPr="00692A84">
        <w:rPr>
          <w:rFonts w:ascii="Arial" w:hAnsi="Arial" w:cs="Arial"/>
          <w:bCs/>
          <w:sz w:val="20"/>
          <w:szCs w:val="20"/>
        </w:rPr>
        <w:t xml:space="preserve"> instrumentos financi</w:t>
      </w:r>
      <w:r w:rsidR="00DC1CD8">
        <w:rPr>
          <w:rFonts w:ascii="Arial" w:hAnsi="Arial" w:cs="Arial"/>
          <w:bCs/>
          <w:sz w:val="20"/>
          <w:szCs w:val="20"/>
        </w:rPr>
        <w:t xml:space="preserve">eros al 31 de diciembre del </w:t>
      </w:r>
      <w:r w:rsidR="00C03AB5">
        <w:rPr>
          <w:rFonts w:ascii="Arial" w:hAnsi="Arial" w:cs="Arial"/>
          <w:bCs/>
          <w:sz w:val="20"/>
          <w:szCs w:val="20"/>
        </w:rPr>
        <w:t>2024</w:t>
      </w:r>
      <w:r w:rsidR="00F01F91">
        <w:rPr>
          <w:rFonts w:ascii="Arial" w:hAnsi="Arial" w:cs="Arial"/>
          <w:bCs/>
          <w:sz w:val="20"/>
          <w:szCs w:val="20"/>
        </w:rPr>
        <w:t xml:space="preserve"> y </w:t>
      </w:r>
      <w:r w:rsidR="00C03AB5">
        <w:rPr>
          <w:rFonts w:ascii="Arial" w:hAnsi="Arial" w:cs="Arial"/>
          <w:bCs/>
          <w:sz w:val="20"/>
          <w:szCs w:val="20"/>
        </w:rPr>
        <w:t>2023</w:t>
      </w:r>
      <w:r>
        <w:rPr>
          <w:rFonts w:ascii="Arial" w:hAnsi="Arial" w:cs="Arial"/>
          <w:bCs/>
          <w:sz w:val="20"/>
          <w:szCs w:val="20"/>
        </w:rPr>
        <w:t xml:space="preserve"> constituyen activos y pasivos corriente</w:t>
      </w:r>
      <w:r w:rsidR="00C03AB5">
        <w:rPr>
          <w:rFonts w:ascii="Arial" w:hAnsi="Arial" w:cs="Arial"/>
          <w:bCs/>
          <w:sz w:val="20"/>
          <w:szCs w:val="20"/>
        </w:rPr>
        <w:t>s</w:t>
      </w:r>
      <w:r>
        <w:rPr>
          <w:rFonts w:ascii="Arial" w:hAnsi="Arial" w:cs="Arial"/>
          <w:bCs/>
          <w:sz w:val="20"/>
          <w:szCs w:val="20"/>
        </w:rPr>
        <w:t>, cuyo saldo en libros y su valor razonable</w:t>
      </w:r>
      <w:r w:rsidRPr="00692A84">
        <w:rPr>
          <w:rFonts w:ascii="Arial" w:hAnsi="Arial" w:cs="Arial"/>
          <w:bCs/>
          <w:sz w:val="20"/>
          <w:szCs w:val="20"/>
        </w:rPr>
        <w:t xml:space="preserve"> es como sigue:</w:t>
      </w:r>
    </w:p>
    <w:p w14:paraId="34FA8DE5" w14:textId="77777777" w:rsidR="00B80195" w:rsidRPr="000D1A16" w:rsidRDefault="00B80195" w:rsidP="00B80195">
      <w:pPr>
        <w:tabs>
          <w:tab w:val="right" w:pos="9072"/>
        </w:tabs>
        <w:jc w:val="both"/>
        <w:rPr>
          <w:rFonts w:ascii="Arial" w:hAnsi="Arial" w:cs="Arial"/>
          <w:bCs/>
          <w:sz w:val="20"/>
          <w:szCs w:val="20"/>
        </w:rPr>
      </w:pPr>
      <w:r>
        <w:rPr>
          <w:rFonts w:ascii="Arial" w:hAnsi="Arial" w:cs="Arial"/>
          <w:bCs/>
          <w:sz w:val="20"/>
          <w:szCs w:val="20"/>
        </w:rPr>
        <w:tab/>
      </w:r>
    </w:p>
    <w:bookmarkStart w:id="4" w:name="_MON_1581162944"/>
    <w:bookmarkEnd w:id="4"/>
    <w:p w14:paraId="0B224E01" w14:textId="22C6BB89" w:rsidR="00B80195" w:rsidRDefault="00C03AB5" w:rsidP="00B80195">
      <w:pPr>
        <w:tabs>
          <w:tab w:val="right" w:pos="9072"/>
        </w:tabs>
        <w:jc w:val="both"/>
        <w:rPr>
          <w:rFonts w:ascii="Arial" w:hAnsi="Arial" w:cs="Arial"/>
          <w:noProof/>
          <w:sz w:val="20"/>
          <w:szCs w:val="20"/>
          <w:lang w:val="es-EC" w:eastAsia="es-EC"/>
        </w:rPr>
      </w:pPr>
      <w:r>
        <w:rPr>
          <w:rFonts w:ascii="Arial" w:hAnsi="Arial" w:cs="Arial"/>
          <w:noProof/>
          <w:sz w:val="20"/>
          <w:szCs w:val="20"/>
          <w:lang w:val="es-EC" w:eastAsia="es-EC"/>
        </w:rPr>
        <w:object w:dxaOrig="10823" w:dyaOrig="3501" w14:anchorId="6C95E8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4.2pt;height:146.4pt" o:ole="">
            <v:imagedata r:id="rId8" o:title=""/>
          </v:shape>
          <o:OLEObject Type="Embed" ProgID="Excel.Sheet.12" ShapeID="_x0000_i1025" DrawAspect="Content" ObjectID="_1807083688" r:id="rId9"/>
        </w:object>
      </w:r>
    </w:p>
    <w:p w14:paraId="3E173E9A" w14:textId="77777777" w:rsidR="00B80195" w:rsidRPr="00692A84" w:rsidRDefault="00B80195" w:rsidP="002C1BE0">
      <w:pPr>
        <w:tabs>
          <w:tab w:val="right" w:pos="9072"/>
        </w:tabs>
        <w:jc w:val="both"/>
        <w:rPr>
          <w:rFonts w:ascii="Arial" w:hAnsi="Arial" w:cs="Arial"/>
          <w:bCs/>
          <w:sz w:val="20"/>
          <w:szCs w:val="20"/>
        </w:rPr>
      </w:pPr>
      <w:r w:rsidRPr="00692A84">
        <w:rPr>
          <w:rFonts w:ascii="Arial" w:hAnsi="Arial" w:cs="Arial"/>
          <w:bCs/>
          <w:sz w:val="20"/>
          <w:szCs w:val="20"/>
        </w:rPr>
        <w:lastRenderedPageBreak/>
        <w:t>Las políticas contables significativas; el método adoptado y los criterios para el reconocimiento para la medición y la base sobre la que se reconocen ingresos y gastos, respecto de cada clase de activos y pasivos financie</w:t>
      </w:r>
      <w:r>
        <w:rPr>
          <w:rFonts w:ascii="Arial" w:hAnsi="Arial" w:cs="Arial"/>
          <w:bCs/>
          <w:sz w:val="20"/>
          <w:szCs w:val="20"/>
        </w:rPr>
        <w:t>ros se detallan en la nota 3</w:t>
      </w:r>
    </w:p>
    <w:p w14:paraId="1CC9634D" w14:textId="77777777" w:rsidR="00E56F00" w:rsidRDefault="00E56F00" w:rsidP="00B80195">
      <w:pPr>
        <w:jc w:val="both"/>
        <w:rPr>
          <w:rFonts w:ascii="Arial" w:hAnsi="Arial" w:cs="Arial"/>
          <w:b/>
          <w:bCs/>
          <w:sz w:val="20"/>
          <w:szCs w:val="20"/>
        </w:rPr>
      </w:pPr>
    </w:p>
    <w:p w14:paraId="66E6AC8F" w14:textId="77777777" w:rsidR="00B80195" w:rsidRPr="00692A84" w:rsidRDefault="00B80195" w:rsidP="00B80195">
      <w:pPr>
        <w:jc w:val="both"/>
        <w:rPr>
          <w:rFonts w:ascii="Arial" w:hAnsi="Arial" w:cs="Arial"/>
          <w:sz w:val="20"/>
          <w:szCs w:val="20"/>
          <w:lang w:eastAsia="es-EC"/>
        </w:rPr>
      </w:pPr>
      <w:r w:rsidRPr="00692A84">
        <w:rPr>
          <w:rFonts w:ascii="Arial" w:hAnsi="Arial" w:cs="Arial"/>
          <w:b/>
          <w:bCs/>
          <w:sz w:val="20"/>
          <w:szCs w:val="20"/>
        </w:rPr>
        <w:t>Valor razonable</w:t>
      </w:r>
    </w:p>
    <w:p w14:paraId="3A76D519" w14:textId="77777777" w:rsidR="00B80195" w:rsidRPr="00692A84" w:rsidRDefault="00B80195" w:rsidP="00B80195">
      <w:pPr>
        <w:tabs>
          <w:tab w:val="right" w:pos="9072"/>
        </w:tabs>
        <w:jc w:val="both"/>
        <w:rPr>
          <w:rFonts w:ascii="Arial" w:hAnsi="Arial" w:cs="Arial"/>
          <w:bCs/>
          <w:sz w:val="20"/>
          <w:szCs w:val="20"/>
        </w:rPr>
      </w:pPr>
    </w:p>
    <w:p w14:paraId="7BD9F02D" w14:textId="77777777"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El valor razonable es definido como el importe por el cual un activo podría ser intercambiado o un pasivo liquidado entre partes conocedoras y dispuestas a ello en una transacción corriente, bajo el supuesto de que la entidad es una empresa en marcha.</w:t>
      </w:r>
    </w:p>
    <w:p w14:paraId="72DFF537" w14:textId="77777777" w:rsidR="00911D18" w:rsidRDefault="00911D18" w:rsidP="00B80195">
      <w:pPr>
        <w:tabs>
          <w:tab w:val="right" w:pos="9072"/>
        </w:tabs>
        <w:jc w:val="both"/>
        <w:rPr>
          <w:rFonts w:ascii="Arial" w:hAnsi="Arial" w:cs="Arial"/>
          <w:bCs/>
          <w:sz w:val="20"/>
          <w:szCs w:val="20"/>
        </w:rPr>
      </w:pPr>
    </w:p>
    <w:p w14:paraId="14CF3D63" w14:textId="77777777"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Las técnicas utilizadas para determinar el valor razonable de los instru</w:t>
      </w:r>
      <w:r>
        <w:rPr>
          <w:rFonts w:ascii="Arial" w:hAnsi="Arial" w:cs="Arial"/>
          <w:bCs/>
          <w:sz w:val="20"/>
          <w:szCs w:val="20"/>
        </w:rPr>
        <w:t xml:space="preserve">mentos se describen en la nota 3 (a). </w:t>
      </w:r>
      <w:r w:rsidRPr="00692A84">
        <w:rPr>
          <w:rFonts w:ascii="Arial" w:hAnsi="Arial" w:cs="Arial"/>
          <w:bCs/>
          <w:sz w:val="20"/>
          <w:szCs w:val="20"/>
        </w:rPr>
        <w:t>Resumen de las principales políticas contables.</w:t>
      </w:r>
    </w:p>
    <w:p w14:paraId="6D72C2EC" w14:textId="77777777" w:rsidR="00B80195" w:rsidRPr="00692A84" w:rsidRDefault="00B80195" w:rsidP="00B80195">
      <w:pPr>
        <w:tabs>
          <w:tab w:val="right" w:pos="9072"/>
        </w:tabs>
        <w:jc w:val="both"/>
        <w:rPr>
          <w:rFonts w:ascii="Arial" w:hAnsi="Arial" w:cs="Arial"/>
          <w:bCs/>
          <w:sz w:val="20"/>
          <w:szCs w:val="20"/>
        </w:rPr>
      </w:pPr>
    </w:p>
    <w:p w14:paraId="66ACCE45" w14:textId="77777777" w:rsidR="00911D18" w:rsidRDefault="00B80195" w:rsidP="00B80195">
      <w:pPr>
        <w:tabs>
          <w:tab w:val="right" w:pos="9072"/>
        </w:tabs>
        <w:jc w:val="both"/>
        <w:rPr>
          <w:rFonts w:ascii="Arial" w:hAnsi="Arial" w:cs="Arial"/>
          <w:bCs/>
          <w:sz w:val="20"/>
          <w:szCs w:val="20"/>
        </w:rPr>
      </w:pPr>
      <w:r w:rsidRPr="00692A84">
        <w:rPr>
          <w:rFonts w:ascii="Arial" w:hAnsi="Arial" w:cs="Arial"/>
          <w:bCs/>
          <w:sz w:val="20"/>
          <w:szCs w:val="20"/>
        </w:rPr>
        <w:t xml:space="preserve">La Compañía ha utilizado su mejor juicio en la estimación de los valores razonables de sus instrumentos financieros, cualquier técnica para efectuar dicho estimado conlleva cierto nivel de fragilidad inherente. </w:t>
      </w:r>
    </w:p>
    <w:p w14:paraId="0E7214B2" w14:textId="77777777" w:rsidR="00911D18" w:rsidRDefault="00911D18" w:rsidP="00B80195">
      <w:pPr>
        <w:tabs>
          <w:tab w:val="right" w:pos="9072"/>
        </w:tabs>
        <w:jc w:val="both"/>
        <w:rPr>
          <w:rFonts w:ascii="Arial" w:hAnsi="Arial" w:cs="Arial"/>
          <w:bCs/>
          <w:sz w:val="20"/>
          <w:szCs w:val="20"/>
        </w:rPr>
      </w:pPr>
    </w:p>
    <w:p w14:paraId="4990AC28" w14:textId="77777777"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Como resultado, el valor razonable no puede ser indicativo del valor neto de realización o de liquidación de los instrumentos financieros.</w:t>
      </w:r>
    </w:p>
    <w:p w14:paraId="4E295CE9" w14:textId="77777777" w:rsidR="00B80195" w:rsidRPr="00692A84" w:rsidRDefault="00B80195" w:rsidP="00B80195">
      <w:pPr>
        <w:tabs>
          <w:tab w:val="right" w:pos="9072"/>
        </w:tabs>
        <w:jc w:val="both"/>
        <w:rPr>
          <w:rFonts w:ascii="Arial" w:hAnsi="Arial" w:cs="Arial"/>
          <w:bCs/>
          <w:sz w:val="20"/>
          <w:szCs w:val="20"/>
        </w:rPr>
      </w:pPr>
    </w:p>
    <w:p w14:paraId="23DE4371" w14:textId="77777777" w:rsidR="00B80195" w:rsidRPr="00692A84" w:rsidRDefault="00B80195" w:rsidP="00B80195">
      <w:pPr>
        <w:jc w:val="both"/>
        <w:rPr>
          <w:rFonts w:ascii="Arial" w:hAnsi="Arial" w:cs="Arial"/>
          <w:bCs/>
          <w:sz w:val="20"/>
          <w:szCs w:val="20"/>
        </w:rPr>
      </w:pPr>
      <w:r w:rsidRPr="00692A84">
        <w:rPr>
          <w:rFonts w:ascii="Arial" w:hAnsi="Arial" w:cs="Arial"/>
          <w:bCs/>
          <w:sz w:val="20"/>
          <w:szCs w:val="20"/>
        </w:rPr>
        <w:t>Los siguientes métodos y supuestos fueron utilizados para estimar los valores razonables:</w:t>
      </w:r>
    </w:p>
    <w:p w14:paraId="1D2ED093" w14:textId="77777777"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cuyo valor razonable es similar al valor en libros</w:t>
      </w:r>
    </w:p>
    <w:p w14:paraId="28045153" w14:textId="77777777" w:rsidR="00B80195" w:rsidRPr="00692A84" w:rsidRDefault="00B80195" w:rsidP="00B80195">
      <w:pPr>
        <w:ind w:left="567"/>
        <w:jc w:val="both"/>
        <w:rPr>
          <w:rFonts w:ascii="Arial" w:hAnsi="Arial" w:cs="Arial"/>
          <w:bCs/>
          <w:sz w:val="20"/>
          <w:szCs w:val="20"/>
        </w:rPr>
      </w:pPr>
    </w:p>
    <w:p w14:paraId="48B0A04A" w14:textId="77777777"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Los activos y pasivos financieros líquidos o tienen vencimientos a corto plazo (menor a tres meses), como efectivo y equivalentes de efectivo, deudores comerciales, otras cuentas por cobrar, acreedores comerciales y otras cuentas por pagar y otros pasivos corrientes, se considera que el valor en libros es similar al valor razonable.</w:t>
      </w:r>
    </w:p>
    <w:p w14:paraId="3B020722" w14:textId="77777777" w:rsidR="002B1398" w:rsidRPr="00692A84" w:rsidRDefault="002B1398" w:rsidP="00B80195">
      <w:pPr>
        <w:ind w:left="567"/>
        <w:jc w:val="both"/>
        <w:rPr>
          <w:rFonts w:ascii="Arial" w:hAnsi="Arial" w:cs="Arial"/>
          <w:bCs/>
          <w:sz w:val="20"/>
          <w:szCs w:val="20"/>
        </w:rPr>
      </w:pPr>
    </w:p>
    <w:p w14:paraId="57D86B6E" w14:textId="77777777"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a tasa fija</w:t>
      </w:r>
    </w:p>
    <w:p w14:paraId="249E5120" w14:textId="77777777" w:rsidR="00B80195" w:rsidRPr="00692A84" w:rsidRDefault="00B80195" w:rsidP="00B80195">
      <w:pPr>
        <w:ind w:left="567"/>
        <w:jc w:val="both"/>
        <w:rPr>
          <w:rFonts w:ascii="Arial" w:hAnsi="Arial" w:cs="Arial"/>
          <w:bCs/>
          <w:sz w:val="20"/>
          <w:szCs w:val="20"/>
        </w:rPr>
      </w:pPr>
    </w:p>
    <w:p w14:paraId="689AFD42" w14:textId="77777777"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El valor razonable de los activos y pasivos financieros que se encuentran a tasas fija y a costo amortizado, se determina comparando las tasas de interés del mercado en el momento de su reconocimiento inicial con las tasas de mercado actuales relacionadas con instrumentos financieros similares.</w:t>
      </w:r>
    </w:p>
    <w:p w14:paraId="1CF2B581" w14:textId="77777777" w:rsidR="00B80195" w:rsidRPr="00692A84" w:rsidRDefault="00B80195" w:rsidP="00B80195">
      <w:pPr>
        <w:ind w:left="567"/>
        <w:jc w:val="both"/>
        <w:rPr>
          <w:rFonts w:ascii="Arial" w:hAnsi="Arial" w:cs="Arial"/>
          <w:bCs/>
          <w:sz w:val="20"/>
          <w:szCs w:val="20"/>
        </w:rPr>
      </w:pPr>
    </w:p>
    <w:p w14:paraId="2629D840" w14:textId="77777777" w:rsidR="00B80195"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Los valores en libros y los valores razonables de los instrumentos financieros presentados en el estado de situación financiera son similares a los valores de mercado.</w:t>
      </w:r>
    </w:p>
    <w:p w14:paraId="2E59E68B" w14:textId="77777777" w:rsidR="008128EC" w:rsidRDefault="008128EC" w:rsidP="008D7017">
      <w:pPr>
        <w:pStyle w:val="Prrafodelista"/>
        <w:widowControl w:val="0"/>
        <w:tabs>
          <w:tab w:val="left" w:pos="567"/>
        </w:tabs>
        <w:spacing w:before="0" w:after="0"/>
        <w:ind w:left="0" w:right="50"/>
        <w:outlineLvl w:val="0"/>
        <w:rPr>
          <w:rFonts w:ascii="Arial" w:hAnsi="Arial" w:cs="Arial"/>
          <w:b/>
          <w:sz w:val="20"/>
          <w:szCs w:val="20"/>
          <w:lang w:val="es-ES"/>
        </w:rPr>
      </w:pPr>
    </w:p>
    <w:p w14:paraId="49EE2D6D" w14:textId="77777777" w:rsidR="00395DBA" w:rsidRPr="000D1A16" w:rsidRDefault="00B80195" w:rsidP="008D7017">
      <w:pPr>
        <w:pStyle w:val="Prrafodelista"/>
        <w:widowControl w:val="0"/>
        <w:tabs>
          <w:tab w:val="left" w:pos="567"/>
        </w:tabs>
        <w:spacing w:before="0" w:after="0"/>
        <w:ind w:left="0" w:right="50"/>
        <w:outlineLvl w:val="0"/>
        <w:rPr>
          <w:rFonts w:ascii="Arial" w:hAnsi="Arial" w:cs="Arial"/>
          <w:b/>
          <w:bCs/>
          <w:sz w:val="20"/>
          <w:szCs w:val="20"/>
        </w:rPr>
      </w:pPr>
      <w:r>
        <w:rPr>
          <w:rFonts w:ascii="Arial" w:hAnsi="Arial" w:cs="Arial"/>
          <w:b/>
          <w:sz w:val="20"/>
          <w:szCs w:val="20"/>
          <w:lang w:val="es-ES"/>
        </w:rPr>
        <w:t>NOTA 6</w:t>
      </w:r>
      <w:r w:rsidR="00395DBA" w:rsidRPr="00B80195">
        <w:rPr>
          <w:rFonts w:ascii="Arial" w:hAnsi="Arial" w:cs="Arial"/>
          <w:b/>
          <w:sz w:val="20"/>
          <w:szCs w:val="20"/>
          <w:lang w:val="es-ES"/>
        </w:rPr>
        <w:t xml:space="preserve"> - </w:t>
      </w:r>
      <w:r w:rsidR="00395DBA" w:rsidRPr="00B80195">
        <w:rPr>
          <w:rFonts w:ascii="Arial" w:hAnsi="Arial" w:cs="Arial"/>
          <w:b/>
          <w:bCs/>
          <w:sz w:val="20"/>
          <w:szCs w:val="20"/>
        </w:rPr>
        <w:t>EFECTIVO Y EQUIVALENTES DE EFECTIVO</w:t>
      </w:r>
      <w:bookmarkEnd w:id="0"/>
      <w:bookmarkEnd w:id="1"/>
      <w:bookmarkEnd w:id="2"/>
    </w:p>
    <w:p w14:paraId="51517AA6" w14:textId="77777777" w:rsidR="00395DBA" w:rsidRPr="000D1A16" w:rsidRDefault="00395DBA" w:rsidP="008D7017">
      <w:pPr>
        <w:widowControl w:val="0"/>
        <w:tabs>
          <w:tab w:val="left" w:pos="567"/>
        </w:tabs>
        <w:ind w:right="50"/>
        <w:rPr>
          <w:rFonts w:ascii="Arial" w:hAnsi="Arial" w:cs="Arial"/>
          <w:bCs/>
          <w:sz w:val="20"/>
          <w:szCs w:val="20"/>
          <w:lang w:val="es-EC"/>
        </w:rPr>
      </w:pPr>
    </w:p>
    <w:p w14:paraId="3DDB1A28" w14:textId="09809899" w:rsidR="004A6B89" w:rsidRPr="000D1A16" w:rsidRDefault="00FF392E" w:rsidP="008D7017">
      <w:pPr>
        <w:tabs>
          <w:tab w:val="left" w:pos="567"/>
        </w:tabs>
        <w:jc w:val="both"/>
        <w:rPr>
          <w:rFonts w:ascii="Arial" w:hAnsi="Arial" w:cs="Arial"/>
          <w:sz w:val="20"/>
          <w:szCs w:val="20"/>
        </w:rPr>
      </w:pPr>
      <w:r w:rsidRPr="000D1A16">
        <w:rPr>
          <w:rFonts w:ascii="Arial" w:hAnsi="Arial" w:cs="Arial"/>
          <w:sz w:val="20"/>
          <w:szCs w:val="20"/>
        </w:rPr>
        <w:t>Al</w:t>
      </w:r>
      <w:r w:rsidR="00704A32" w:rsidRPr="000D1A16">
        <w:rPr>
          <w:rFonts w:ascii="Arial" w:hAnsi="Arial" w:cs="Arial"/>
          <w:sz w:val="20"/>
          <w:szCs w:val="20"/>
        </w:rPr>
        <w:t xml:space="preserve"> </w:t>
      </w:r>
      <w:r w:rsidR="00E56F00">
        <w:rPr>
          <w:rFonts w:ascii="Arial" w:hAnsi="Arial" w:cs="Arial"/>
          <w:sz w:val="20"/>
          <w:szCs w:val="20"/>
        </w:rPr>
        <w:t xml:space="preserve">31 de diciembre del </w:t>
      </w:r>
      <w:r w:rsidR="00C03AB5">
        <w:rPr>
          <w:rFonts w:ascii="Arial" w:hAnsi="Arial" w:cs="Arial"/>
          <w:sz w:val="20"/>
          <w:szCs w:val="20"/>
        </w:rPr>
        <w:t>2024</w:t>
      </w:r>
      <w:r w:rsidR="00E56F00">
        <w:rPr>
          <w:rFonts w:ascii="Arial" w:hAnsi="Arial" w:cs="Arial"/>
          <w:sz w:val="20"/>
          <w:szCs w:val="20"/>
        </w:rPr>
        <w:t xml:space="preserve"> y </w:t>
      </w:r>
      <w:r w:rsidR="00C03AB5">
        <w:rPr>
          <w:rFonts w:ascii="Arial" w:hAnsi="Arial" w:cs="Arial"/>
          <w:sz w:val="20"/>
          <w:szCs w:val="20"/>
        </w:rPr>
        <w:t>2023</w:t>
      </w:r>
      <w:r w:rsidR="00EE2CE6" w:rsidRPr="000D1A16">
        <w:rPr>
          <w:rFonts w:ascii="Arial" w:hAnsi="Arial" w:cs="Arial"/>
          <w:sz w:val="20"/>
          <w:szCs w:val="20"/>
        </w:rPr>
        <w:t>, l</w:t>
      </w:r>
      <w:r w:rsidR="00993D47" w:rsidRPr="000D1A16">
        <w:rPr>
          <w:rFonts w:ascii="Arial" w:hAnsi="Arial" w:cs="Arial"/>
          <w:sz w:val="20"/>
          <w:szCs w:val="20"/>
        </w:rPr>
        <w:t>a composición del</w:t>
      </w:r>
      <w:r w:rsidR="006119FD">
        <w:rPr>
          <w:rFonts w:ascii="Arial" w:hAnsi="Arial" w:cs="Arial"/>
          <w:sz w:val="20"/>
          <w:szCs w:val="20"/>
        </w:rPr>
        <w:t xml:space="preserve"> efectivo y equivalentes </w:t>
      </w:r>
      <w:r w:rsidR="00C331A4">
        <w:rPr>
          <w:rFonts w:ascii="Arial" w:hAnsi="Arial" w:cs="Arial"/>
          <w:sz w:val="20"/>
          <w:szCs w:val="20"/>
        </w:rPr>
        <w:t xml:space="preserve">de efectivo </w:t>
      </w:r>
      <w:r w:rsidR="00EE2CE6" w:rsidRPr="000D1A16">
        <w:rPr>
          <w:rFonts w:ascii="Arial" w:hAnsi="Arial" w:cs="Arial"/>
          <w:sz w:val="20"/>
          <w:szCs w:val="20"/>
        </w:rPr>
        <w:t>es como sigue:</w:t>
      </w:r>
    </w:p>
    <w:p w14:paraId="198740EF" w14:textId="77777777" w:rsidR="002754D4" w:rsidRDefault="002754D4" w:rsidP="008D7017">
      <w:pPr>
        <w:tabs>
          <w:tab w:val="left" w:pos="567"/>
        </w:tabs>
        <w:jc w:val="both"/>
        <w:rPr>
          <w:rFonts w:ascii="Arial" w:hAnsi="Arial" w:cs="Arial"/>
          <w:sz w:val="20"/>
          <w:szCs w:val="20"/>
        </w:rPr>
      </w:pPr>
    </w:p>
    <w:bookmarkStart w:id="5" w:name="_MON_1552469177"/>
    <w:bookmarkEnd w:id="5"/>
    <w:p w14:paraId="74D2C07A" w14:textId="416198A3" w:rsidR="00E56F00" w:rsidRPr="000D1A16" w:rsidRDefault="00C03AB5" w:rsidP="008D7017">
      <w:pPr>
        <w:tabs>
          <w:tab w:val="left" w:pos="567"/>
        </w:tabs>
        <w:jc w:val="both"/>
        <w:rPr>
          <w:rFonts w:ascii="Arial" w:hAnsi="Arial" w:cs="Arial"/>
          <w:sz w:val="20"/>
          <w:szCs w:val="20"/>
        </w:rPr>
      </w:pPr>
      <w:r w:rsidRPr="000D1A16">
        <w:rPr>
          <w:rFonts w:ascii="Arial" w:hAnsi="Arial" w:cs="Arial"/>
          <w:noProof/>
          <w:sz w:val="20"/>
          <w:szCs w:val="20"/>
        </w:rPr>
        <w:object w:dxaOrig="6299" w:dyaOrig="1098" w14:anchorId="4E1749C2">
          <v:shape id="_x0000_i1026" type="#_x0000_t75" alt="" style="width:300pt;height:57pt" o:ole="">
            <v:imagedata r:id="rId10" o:title=""/>
          </v:shape>
          <o:OLEObject Type="Embed" ProgID="Excel.Sheet.12" ShapeID="_x0000_i1026" DrawAspect="Content" ObjectID="_1807083689" r:id="rId11"/>
        </w:object>
      </w:r>
    </w:p>
    <w:p w14:paraId="542EF63D" w14:textId="0FED7C6D" w:rsidR="00993D47" w:rsidRPr="00FE6051" w:rsidRDefault="00704A32" w:rsidP="00B80195">
      <w:pPr>
        <w:widowControl w:val="0"/>
        <w:tabs>
          <w:tab w:val="num" w:pos="1134"/>
        </w:tabs>
        <w:overflowPunct w:val="0"/>
        <w:autoSpaceDE w:val="0"/>
        <w:autoSpaceDN w:val="0"/>
        <w:adjustRightInd w:val="0"/>
        <w:ind w:right="18"/>
        <w:jc w:val="both"/>
        <w:textAlignment w:val="baseline"/>
        <w:rPr>
          <w:rFonts w:ascii="Arial" w:hAnsi="Arial" w:cs="Arial"/>
          <w:sz w:val="20"/>
          <w:szCs w:val="20"/>
        </w:rPr>
      </w:pPr>
      <w:r w:rsidRPr="000D1A16">
        <w:rPr>
          <w:rFonts w:ascii="Arial" w:hAnsi="Arial" w:cs="Arial"/>
          <w:sz w:val="20"/>
          <w:szCs w:val="20"/>
        </w:rPr>
        <w:t xml:space="preserve">Al </w:t>
      </w:r>
      <w:r w:rsidR="002B2EF0">
        <w:rPr>
          <w:rFonts w:ascii="Arial" w:hAnsi="Arial" w:cs="Arial"/>
          <w:sz w:val="20"/>
          <w:szCs w:val="20"/>
        </w:rPr>
        <w:t xml:space="preserve">31 </w:t>
      </w:r>
      <w:r w:rsidR="00E56F00">
        <w:rPr>
          <w:rFonts w:ascii="Arial" w:hAnsi="Arial" w:cs="Arial"/>
          <w:sz w:val="20"/>
          <w:szCs w:val="20"/>
        </w:rPr>
        <w:t xml:space="preserve">de diciembre del </w:t>
      </w:r>
      <w:r w:rsidR="00C03AB5">
        <w:rPr>
          <w:rFonts w:ascii="Arial" w:hAnsi="Arial" w:cs="Arial"/>
          <w:sz w:val="20"/>
          <w:szCs w:val="20"/>
        </w:rPr>
        <w:t>2024</w:t>
      </w:r>
      <w:r w:rsidR="00E56F00">
        <w:rPr>
          <w:rFonts w:ascii="Arial" w:hAnsi="Arial" w:cs="Arial"/>
          <w:sz w:val="20"/>
          <w:szCs w:val="20"/>
        </w:rPr>
        <w:t xml:space="preserve"> y </w:t>
      </w:r>
      <w:r w:rsidR="00C03AB5">
        <w:rPr>
          <w:rFonts w:ascii="Arial" w:hAnsi="Arial" w:cs="Arial"/>
          <w:sz w:val="20"/>
          <w:szCs w:val="20"/>
        </w:rPr>
        <w:t>2023</w:t>
      </w:r>
      <w:r w:rsidR="00993D47" w:rsidRPr="000D1A16">
        <w:rPr>
          <w:rFonts w:ascii="Arial" w:hAnsi="Arial" w:cs="Arial"/>
          <w:sz w:val="20"/>
          <w:szCs w:val="20"/>
        </w:rPr>
        <w:t>, corresponde al disponible que la Compañía mantiene en su</w:t>
      </w:r>
      <w:r w:rsidR="004D10BA">
        <w:rPr>
          <w:rFonts w:ascii="Arial" w:hAnsi="Arial" w:cs="Arial"/>
          <w:sz w:val="20"/>
          <w:szCs w:val="20"/>
        </w:rPr>
        <w:t>s</w:t>
      </w:r>
      <w:r w:rsidR="00993D47" w:rsidRPr="000D1A16">
        <w:rPr>
          <w:rFonts w:ascii="Arial" w:hAnsi="Arial" w:cs="Arial"/>
          <w:sz w:val="20"/>
          <w:szCs w:val="20"/>
        </w:rPr>
        <w:t xml:space="preserve"> cuenta</w:t>
      </w:r>
      <w:r w:rsidR="004D10BA">
        <w:rPr>
          <w:rFonts w:ascii="Arial" w:hAnsi="Arial" w:cs="Arial"/>
          <w:sz w:val="20"/>
          <w:szCs w:val="20"/>
        </w:rPr>
        <w:t>s</w:t>
      </w:r>
      <w:r w:rsidR="00993D47" w:rsidRPr="000D1A16">
        <w:rPr>
          <w:rFonts w:ascii="Arial" w:hAnsi="Arial" w:cs="Arial"/>
          <w:sz w:val="20"/>
          <w:szCs w:val="20"/>
        </w:rPr>
        <w:t xml:space="preserve"> corriente</w:t>
      </w:r>
      <w:r w:rsidR="004D10BA">
        <w:rPr>
          <w:rFonts w:ascii="Arial" w:hAnsi="Arial" w:cs="Arial"/>
          <w:sz w:val="20"/>
          <w:szCs w:val="20"/>
        </w:rPr>
        <w:t>s</w:t>
      </w:r>
      <w:r w:rsidR="00993D47" w:rsidRPr="000D1A16">
        <w:rPr>
          <w:rFonts w:ascii="Arial" w:hAnsi="Arial" w:cs="Arial"/>
          <w:sz w:val="20"/>
          <w:szCs w:val="20"/>
        </w:rPr>
        <w:t xml:space="preserve"> en</w:t>
      </w:r>
      <w:r w:rsidR="004D10BA">
        <w:rPr>
          <w:rFonts w:ascii="Arial" w:hAnsi="Arial" w:cs="Arial"/>
          <w:sz w:val="20"/>
          <w:szCs w:val="20"/>
        </w:rPr>
        <w:t xml:space="preserve"> el</w:t>
      </w:r>
      <w:r w:rsidR="002754D4">
        <w:rPr>
          <w:rFonts w:ascii="Arial" w:hAnsi="Arial" w:cs="Arial"/>
          <w:sz w:val="20"/>
          <w:szCs w:val="20"/>
        </w:rPr>
        <w:t xml:space="preserve"> Banco </w:t>
      </w:r>
      <w:r w:rsidR="00CB6667">
        <w:rPr>
          <w:rFonts w:ascii="Arial" w:hAnsi="Arial" w:cs="Arial"/>
          <w:sz w:val="20"/>
          <w:szCs w:val="20"/>
        </w:rPr>
        <w:t xml:space="preserve">de la Producción Produbanco </w:t>
      </w:r>
      <w:r w:rsidR="004D10BA">
        <w:rPr>
          <w:rFonts w:ascii="Arial" w:hAnsi="Arial" w:cs="Arial"/>
          <w:sz w:val="20"/>
          <w:szCs w:val="20"/>
        </w:rPr>
        <w:t xml:space="preserve">y el Banco Internacional </w:t>
      </w:r>
      <w:r w:rsidR="00703AD7">
        <w:rPr>
          <w:rFonts w:ascii="Arial" w:hAnsi="Arial" w:cs="Arial"/>
          <w:sz w:val="20"/>
          <w:szCs w:val="20"/>
        </w:rPr>
        <w:t xml:space="preserve">que tiene </w:t>
      </w:r>
      <w:r w:rsidR="00993D47" w:rsidRPr="000D1A16">
        <w:rPr>
          <w:rFonts w:ascii="Arial" w:hAnsi="Arial" w:cs="Arial"/>
          <w:sz w:val="20"/>
          <w:szCs w:val="20"/>
        </w:rPr>
        <w:t xml:space="preserve">calificación </w:t>
      </w:r>
      <w:r w:rsidR="00703AD7">
        <w:rPr>
          <w:rFonts w:ascii="Arial" w:hAnsi="Arial" w:cs="Arial"/>
          <w:sz w:val="20"/>
          <w:szCs w:val="20"/>
        </w:rPr>
        <w:t>AAA-</w:t>
      </w:r>
      <w:r w:rsidR="00993D47" w:rsidRPr="000D1A16">
        <w:rPr>
          <w:rFonts w:ascii="Arial" w:hAnsi="Arial" w:cs="Arial"/>
          <w:sz w:val="20"/>
          <w:szCs w:val="20"/>
        </w:rPr>
        <w:t xml:space="preserve"> de acuerdo a las publicaciones requeridas por la Superint</w:t>
      </w:r>
      <w:r w:rsidR="002754D4">
        <w:rPr>
          <w:rFonts w:ascii="Arial" w:hAnsi="Arial" w:cs="Arial"/>
          <w:sz w:val="20"/>
          <w:szCs w:val="20"/>
        </w:rPr>
        <w:t>endencia de Bancos.</w:t>
      </w:r>
    </w:p>
    <w:p w14:paraId="28A96DFC" w14:textId="77777777" w:rsidR="00FE6051" w:rsidRPr="000D1A16" w:rsidRDefault="00FE6051" w:rsidP="00FE6051">
      <w:pPr>
        <w:tabs>
          <w:tab w:val="left" w:pos="567"/>
        </w:tabs>
        <w:jc w:val="both"/>
        <w:rPr>
          <w:rFonts w:ascii="Arial" w:hAnsi="Arial" w:cs="Arial"/>
          <w:w w:val="104"/>
          <w:sz w:val="20"/>
          <w:szCs w:val="20"/>
        </w:rPr>
      </w:pPr>
    </w:p>
    <w:p w14:paraId="06ED1EA3" w14:textId="77777777" w:rsidR="00FE6051" w:rsidRDefault="00B80195" w:rsidP="00FE6051">
      <w:pPr>
        <w:rPr>
          <w:rFonts w:ascii="Arial" w:hAnsi="Arial" w:cs="Arial"/>
          <w:b/>
          <w:bCs/>
          <w:sz w:val="20"/>
          <w:szCs w:val="20"/>
        </w:rPr>
      </w:pPr>
      <w:r>
        <w:rPr>
          <w:rFonts w:ascii="Arial" w:hAnsi="Arial" w:cs="Arial"/>
          <w:b/>
          <w:bCs/>
          <w:sz w:val="20"/>
          <w:szCs w:val="20"/>
        </w:rPr>
        <w:t>NOTA 7</w:t>
      </w:r>
      <w:r w:rsidR="00FE6051" w:rsidRPr="00B80195">
        <w:rPr>
          <w:rFonts w:ascii="Arial" w:hAnsi="Arial" w:cs="Arial"/>
          <w:b/>
          <w:bCs/>
          <w:sz w:val="20"/>
          <w:szCs w:val="20"/>
        </w:rPr>
        <w:t xml:space="preserve"> – CUENTAS POR COBRAR – COMERCIALES</w:t>
      </w:r>
    </w:p>
    <w:p w14:paraId="51BD0EA2" w14:textId="77777777" w:rsidR="00FE6051" w:rsidRDefault="00FE6051" w:rsidP="00FE6051">
      <w:pPr>
        <w:rPr>
          <w:rFonts w:ascii="Arial" w:hAnsi="Arial" w:cs="Arial"/>
          <w:b/>
          <w:bCs/>
          <w:sz w:val="20"/>
          <w:szCs w:val="20"/>
        </w:rPr>
      </w:pPr>
    </w:p>
    <w:p w14:paraId="5CE73843" w14:textId="1D8FB01A" w:rsidR="00FE6051" w:rsidRDefault="00FE6051" w:rsidP="00FE6051">
      <w:pPr>
        <w:rPr>
          <w:rFonts w:ascii="Arial" w:hAnsi="Arial" w:cs="Arial"/>
          <w:bCs/>
          <w:sz w:val="20"/>
          <w:szCs w:val="20"/>
        </w:rPr>
      </w:pPr>
      <w:r w:rsidRPr="00FE6051">
        <w:rPr>
          <w:rFonts w:ascii="Arial" w:hAnsi="Arial" w:cs="Arial"/>
          <w:bCs/>
          <w:sz w:val="20"/>
          <w:szCs w:val="20"/>
        </w:rPr>
        <w:t>El saldo de las cuentas por cobrar</w:t>
      </w:r>
      <w:r w:rsidR="00B80195">
        <w:rPr>
          <w:rFonts w:ascii="Arial" w:hAnsi="Arial" w:cs="Arial"/>
          <w:bCs/>
          <w:sz w:val="20"/>
          <w:szCs w:val="20"/>
        </w:rPr>
        <w:t xml:space="preserve"> comerciales</w:t>
      </w:r>
      <w:r w:rsidR="00E56F00">
        <w:rPr>
          <w:rFonts w:ascii="Arial" w:hAnsi="Arial" w:cs="Arial"/>
          <w:bCs/>
          <w:sz w:val="20"/>
          <w:szCs w:val="20"/>
        </w:rPr>
        <w:t xml:space="preserve"> al 31 de diciembre del </w:t>
      </w:r>
      <w:r w:rsidR="00C03AB5">
        <w:rPr>
          <w:rFonts w:ascii="Arial" w:hAnsi="Arial" w:cs="Arial"/>
          <w:bCs/>
          <w:sz w:val="20"/>
          <w:szCs w:val="20"/>
        </w:rPr>
        <w:t>2024</w:t>
      </w:r>
      <w:r w:rsidR="00E56F00">
        <w:rPr>
          <w:rFonts w:ascii="Arial" w:hAnsi="Arial" w:cs="Arial"/>
          <w:bCs/>
          <w:sz w:val="20"/>
          <w:szCs w:val="20"/>
        </w:rPr>
        <w:t xml:space="preserve"> y </w:t>
      </w:r>
      <w:r w:rsidR="00C03AB5">
        <w:rPr>
          <w:rFonts w:ascii="Arial" w:hAnsi="Arial" w:cs="Arial"/>
          <w:bCs/>
          <w:sz w:val="20"/>
          <w:szCs w:val="20"/>
        </w:rPr>
        <w:t>2023</w:t>
      </w:r>
      <w:r w:rsidRPr="00FE6051">
        <w:rPr>
          <w:rFonts w:ascii="Arial" w:hAnsi="Arial" w:cs="Arial"/>
          <w:bCs/>
          <w:sz w:val="20"/>
          <w:szCs w:val="20"/>
        </w:rPr>
        <w:t xml:space="preserve"> son como sigue:</w:t>
      </w:r>
    </w:p>
    <w:p w14:paraId="2D665342" w14:textId="77777777" w:rsidR="00FE6051" w:rsidRDefault="00FE6051" w:rsidP="00FE6051">
      <w:pPr>
        <w:rPr>
          <w:rFonts w:ascii="Arial" w:hAnsi="Arial" w:cs="Arial"/>
          <w:bCs/>
          <w:sz w:val="20"/>
          <w:szCs w:val="20"/>
        </w:rPr>
      </w:pPr>
    </w:p>
    <w:bookmarkStart w:id="6" w:name="_MON_1616944438"/>
    <w:bookmarkEnd w:id="6"/>
    <w:p w14:paraId="4994DA8D" w14:textId="1285E38D" w:rsidR="00FE6051" w:rsidRPr="00FE6051" w:rsidRDefault="00C03AB5" w:rsidP="00FE6051">
      <w:pPr>
        <w:rPr>
          <w:rFonts w:ascii="Arial" w:hAnsi="Arial" w:cs="Arial"/>
          <w:bCs/>
          <w:sz w:val="20"/>
          <w:szCs w:val="20"/>
        </w:rPr>
      </w:pPr>
      <w:r>
        <w:rPr>
          <w:rFonts w:ascii="Arial" w:hAnsi="Arial" w:cs="Arial"/>
          <w:bCs/>
          <w:noProof/>
          <w:sz w:val="20"/>
          <w:szCs w:val="20"/>
        </w:rPr>
        <w:object w:dxaOrig="7269" w:dyaOrig="4740" w14:anchorId="6E758565">
          <v:shape id="_x0000_i1027" type="#_x0000_t75" alt="" style="width:363pt;height:234.6pt" o:ole="">
            <v:imagedata r:id="rId12" o:title=""/>
          </v:shape>
          <o:OLEObject Type="Embed" ProgID="Excel.Sheet.12" ShapeID="_x0000_i1027" DrawAspect="Content" ObjectID="_1807083690" r:id="rId13"/>
        </w:object>
      </w:r>
    </w:p>
    <w:p w14:paraId="05367410" w14:textId="77777777" w:rsidR="00B23A01" w:rsidRDefault="00B23A01" w:rsidP="00B80195">
      <w:pPr>
        <w:pStyle w:val="Textoindependiente"/>
        <w:rPr>
          <w:rFonts w:ascii="Arial" w:hAnsi="Arial" w:cs="Arial"/>
          <w:sz w:val="20"/>
        </w:rPr>
      </w:pPr>
    </w:p>
    <w:p w14:paraId="6E912950" w14:textId="69B2A37A" w:rsidR="00B80195" w:rsidRDefault="003B0CE7" w:rsidP="00B80195">
      <w:pPr>
        <w:pStyle w:val="Textoindependiente"/>
        <w:rPr>
          <w:rFonts w:ascii="Arial" w:hAnsi="Arial" w:cs="Arial"/>
          <w:sz w:val="20"/>
        </w:rPr>
      </w:pPr>
      <w:r>
        <w:rPr>
          <w:rFonts w:ascii="Arial" w:hAnsi="Arial" w:cs="Arial"/>
          <w:sz w:val="20"/>
        </w:rPr>
        <w:t>Las cuentas por cobrar comerciales</w:t>
      </w:r>
      <w:r w:rsidR="00DC60D8">
        <w:rPr>
          <w:rFonts w:ascii="Arial" w:hAnsi="Arial" w:cs="Arial"/>
          <w:sz w:val="20"/>
        </w:rPr>
        <w:t xml:space="preserve"> a corto plazo </w:t>
      </w:r>
      <w:r>
        <w:rPr>
          <w:rFonts w:ascii="Arial" w:hAnsi="Arial" w:cs="Arial"/>
          <w:sz w:val="20"/>
        </w:rPr>
        <w:t xml:space="preserve">tienen </w:t>
      </w:r>
      <w:r w:rsidR="00B80195" w:rsidRPr="00692A84">
        <w:rPr>
          <w:rFonts w:ascii="Arial" w:hAnsi="Arial" w:cs="Arial"/>
          <w:sz w:val="20"/>
        </w:rPr>
        <w:t>plazos entre 30 y 60 días, no generan intereses y los intereses de mora por las cuentas vencidas o antiguas se registran al momento de su cobro.</w:t>
      </w:r>
      <w:r w:rsidR="00B80195" w:rsidRPr="00692A84">
        <w:rPr>
          <w:rFonts w:ascii="Arial" w:hAnsi="Arial" w:cs="Arial"/>
          <w:sz w:val="20"/>
        </w:rPr>
        <w:tab/>
      </w:r>
    </w:p>
    <w:p w14:paraId="51EAD6F3" w14:textId="232C71B6" w:rsidR="00B80195" w:rsidRPr="00DC60D8" w:rsidRDefault="00DC60D8" w:rsidP="00DB77BE">
      <w:pPr>
        <w:jc w:val="both"/>
        <w:rPr>
          <w:rFonts w:ascii="Arial" w:hAnsi="Arial" w:cs="Arial"/>
          <w:sz w:val="20"/>
          <w:szCs w:val="20"/>
        </w:rPr>
      </w:pPr>
      <w:r w:rsidRPr="00DC60D8">
        <w:rPr>
          <w:rFonts w:ascii="Arial" w:hAnsi="Arial" w:cs="Arial"/>
          <w:sz w:val="20"/>
          <w:szCs w:val="20"/>
        </w:rPr>
        <w:t>Las cuentas por cobrar a largo plazo corresponden a un contrato firmado con Centro Logístico Alpachaca, el cual estipula que la venta de paneles solares para su planta fotovoltaica será una venta a crédito a 10 años.</w:t>
      </w:r>
    </w:p>
    <w:p w14:paraId="0B607448" w14:textId="77777777" w:rsidR="007C21B2" w:rsidRDefault="007C21B2" w:rsidP="00C870E3">
      <w:pPr>
        <w:rPr>
          <w:rFonts w:ascii="Arial" w:hAnsi="Arial" w:cs="Arial"/>
          <w:b/>
          <w:bCs/>
          <w:sz w:val="20"/>
          <w:szCs w:val="20"/>
        </w:rPr>
      </w:pPr>
    </w:p>
    <w:p w14:paraId="39450FE7" w14:textId="293B465E" w:rsidR="00C870E3" w:rsidRPr="000D1A16" w:rsidRDefault="00C870E3" w:rsidP="00C870E3">
      <w:pPr>
        <w:rPr>
          <w:rFonts w:ascii="Arial" w:hAnsi="Arial" w:cs="Arial"/>
          <w:b/>
          <w:bCs/>
          <w:sz w:val="20"/>
          <w:szCs w:val="20"/>
        </w:rPr>
      </w:pPr>
      <w:r>
        <w:rPr>
          <w:rFonts w:ascii="Arial" w:hAnsi="Arial" w:cs="Arial"/>
          <w:b/>
          <w:bCs/>
          <w:sz w:val="20"/>
          <w:szCs w:val="20"/>
        </w:rPr>
        <w:t xml:space="preserve">NOTA </w:t>
      </w:r>
      <w:r w:rsidR="00DB77BE">
        <w:rPr>
          <w:rFonts w:ascii="Arial" w:hAnsi="Arial" w:cs="Arial"/>
          <w:b/>
          <w:bCs/>
          <w:sz w:val="20"/>
          <w:szCs w:val="20"/>
        </w:rPr>
        <w:t>8</w:t>
      </w:r>
      <w:r w:rsidRPr="002857A4">
        <w:rPr>
          <w:rFonts w:ascii="Arial" w:hAnsi="Arial" w:cs="Arial"/>
          <w:b/>
          <w:bCs/>
          <w:sz w:val="20"/>
          <w:szCs w:val="20"/>
        </w:rPr>
        <w:t xml:space="preserve"> – </w:t>
      </w:r>
      <w:r>
        <w:rPr>
          <w:rFonts w:ascii="Arial" w:hAnsi="Arial" w:cs="Arial"/>
          <w:b/>
          <w:bCs/>
          <w:sz w:val="20"/>
          <w:szCs w:val="20"/>
        </w:rPr>
        <w:t>INVENTARIO</w:t>
      </w:r>
    </w:p>
    <w:p w14:paraId="297FF2C7" w14:textId="77777777" w:rsidR="00C870E3" w:rsidRDefault="00C870E3" w:rsidP="00FE6051">
      <w:pPr>
        <w:rPr>
          <w:rFonts w:ascii="Arial" w:hAnsi="Arial" w:cs="Arial"/>
          <w:b/>
          <w:bCs/>
          <w:sz w:val="20"/>
          <w:szCs w:val="20"/>
        </w:rPr>
      </w:pPr>
    </w:p>
    <w:p w14:paraId="2C917850" w14:textId="05D585E1" w:rsidR="00C870E3" w:rsidRDefault="00C870E3" w:rsidP="00C870E3">
      <w:pPr>
        <w:jc w:val="both"/>
        <w:rPr>
          <w:rFonts w:ascii="Arial" w:hAnsi="Arial" w:cs="Arial"/>
          <w:sz w:val="20"/>
          <w:szCs w:val="20"/>
        </w:rPr>
      </w:pPr>
      <w:r w:rsidRPr="000D1A16">
        <w:rPr>
          <w:rFonts w:ascii="Arial" w:hAnsi="Arial" w:cs="Arial"/>
          <w:iCs/>
          <w:sz w:val="20"/>
          <w:szCs w:val="20"/>
        </w:rPr>
        <w:t>El inventario</w:t>
      </w:r>
      <w:r w:rsidRPr="000D1A16">
        <w:rPr>
          <w:rFonts w:ascii="Arial" w:hAnsi="Arial" w:cs="Arial"/>
          <w:sz w:val="20"/>
          <w:szCs w:val="20"/>
        </w:rPr>
        <w:t xml:space="preserve"> al </w:t>
      </w:r>
      <w:r>
        <w:rPr>
          <w:rFonts w:ascii="Arial" w:hAnsi="Arial" w:cs="Arial"/>
          <w:sz w:val="20"/>
          <w:szCs w:val="20"/>
        </w:rPr>
        <w:t xml:space="preserve">31 de diciembre del </w:t>
      </w:r>
      <w:r w:rsidR="00C03AB5">
        <w:rPr>
          <w:rFonts w:ascii="Arial" w:hAnsi="Arial" w:cs="Arial"/>
          <w:sz w:val="20"/>
          <w:szCs w:val="20"/>
        </w:rPr>
        <w:t>2024</w:t>
      </w:r>
      <w:r>
        <w:rPr>
          <w:rFonts w:ascii="Arial" w:hAnsi="Arial" w:cs="Arial"/>
          <w:sz w:val="20"/>
          <w:szCs w:val="20"/>
        </w:rPr>
        <w:t xml:space="preserve"> y </w:t>
      </w:r>
      <w:r w:rsidR="00C03AB5">
        <w:rPr>
          <w:rFonts w:ascii="Arial" w:hAnsi="Arial" w:cs="Arial"/>
          <w:sz w:val="20"/>
          <w:szCs w:val="20"/>
        </w:rPr>
        <w:t>2023</w:t>
      </w:r>
      <w:r w:rsidRPr="000D1A16">
        <w:rPr>
          <w:rFonts w:ascii="Arial" w:hAnsi="Arial" w:cs="Arial"/>
          <w:sz w:val="20"/>
          <w:szCs w:val="20"/>
        </w:rPr>
        <w:t xml:space="preserve"> constituye los siguientes saldos:</w:t>
      </w:r>
    </w:p>
    <w:p w14:paraId="63C15B7E" w14:textId="77777777" w:rsidR="00C870E3" w:rsidRDefault="00C870E3" w:rsidP="00FE6051">
      <w:pPr>
        <w:rPr>
          <w:rFonts w:ascii="Arial" w:hAnsi="Arial" w:cs="Arial"/>
          <w:b/>
          <w:bCs/>
          <w:sz w:val="20"/>
          <w:szCs w:val="20"/>
        </w:rPr>
      </w:pPr>
    </w:p>
    <w:bookmarkStart w:id="7" w:name="_MON_1646841446"/>
    <w:bookmarkEnd w:id="7"/>
    <w:p w14:paraId="0BDFE717" w14:textId="6F7C2EB1" w:rsidR="00C870E3" w:rsidRPr="000D1A16" w:rsidRDefault="00217790" w:rsidP="00C870E3">
      <w:pPr>
        <w:pStyle w:val="Textoindependiente"/>
        <w:rPr>
          <w:rFonts w:ascii="Arial" w:hAnsi="Arial" w:cs="Arial"/>
          <w:iCs/>
          <w:sz w:val="20"/>
          <w:highlight w:val="yellow"/>
          <w:lang w:val="es-ES"/>
        </w:rPr>
      </w:pPr>
      <w:r w:rsidRPr="003F05A9">
        <w:rPr>
          <w:rFonts w:ascii="Arial" w:hAnsi="Arial" w:cs="Arial"/>
          <w:iCs/>
          <w:noProof/>
          <w:sz w:val="20"/>
          <w:lang w:val="es-ES"/>
        </w:rPr>
        <w:object w:dxaOrig="7816" w:dyaOrig="3050" w14:anchorId="2D8B5F71">
          <v:shape id="_x0000_i1028" type="#_x0000_t75" alt="" style="width:402pt;height:154.8pt" o:ole="">
            <v:imagedata r:id="rId14" o:title=""/>
          </v:shape>
          <o:OLEObject Type="Embed" ProgID="Excel.Sheet.12" ShapeID="_x0000_i1028" DrawAspect="Content" ObjectID="_1807083691" r:id="rId15"/>
        </w:object>
      </w:r>
    </w:p>
    <w:p w14:paraId="0D6D9418" w14:textId="77777777" w:rsidR="00395DBA" w:rsidRPr="000D1A16" w:rsidRDefault="00C870E3" w:rsidP="008D7017">
      <w:pPr>
        <w:rPr>
          <w:rFonts w:ascii="Arial" w:hAnsi="Arial" w:cs="Arial"/>
          <w:b/>
          <w:bCs/>
          <w:sz w:val="20"/>
          <w:szCs w:val="20"/>
        </w:rPr>
      </w:pPr>
      <w:bookmarkStart w:id="8" w:name="_MON_1391850401"/>
      <w:bookmarkStart w:id="9" w:name="_MON_1456775633"/>
      <w:bookmarkStart w:id="10" w:name="_MON_1456775672"/>
      <w:bookmarkStart w:id="11" w:name="_MON_1457258831"/>
      <w:bookmarkStart w:id="12" w:name="_MON_1457287852"/>
      <w:bookmarkStart w:id="13" w:name="_MON_1329680191"/>
      <w:bookmarkStart w:id="14" w:name="_MON_1329680447"/>
      <w:bookmarkStart w:id="15" w:name="_MON_1361776980"/>
      <w:bookmarkStart w:id="16" w:name="_MON_1361797357"/>
      <w:bookmarkStart w:id="17" w:name="_MON_1551009623"/>
      <w:bookmarkStart w:id="18" w:name="_MON_1391664645"/>
      <w:bookmarkStart w:id="19" w:name="_MON_1580288208"/>
      <w:bookmarkStart w:id="20" w:name="_MON_1457287105"/>
      <w:bookmarkStart w:id="21" w:name="_MON_1457287207"/>
      <w:bookmarkStart w:id="22" w:name="_MON_1457287224"/>
      <w:bookmarkStart w:id="23" w:name="_MON_1329680428"/>
      <w:bookmarkStart w:id="24" w:name="_MON_1329725875"/>
      <w:bookmarkStart w:id="25" w:name="_MON_1551009693"/>
      <w:bookmarkStart w:id="26" w:name="_MON_1391533142"/>
      <w:bookmarkStart w:id="27" w:name="_MON_1456774516"/>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Pr>
          <w:rFonts w:ascii="Arial" w:hAnsi="Arial" w:cs="Arial"/>
          <w:b/>
          <w:bCs/>
          <w:sz w:val="20"/>
          <w:szCs w:val="20"/>
        </w:rPr>
        <w:t>NOTA 9</w:t>
      </w:r>
      <w:r w:rsidR="00395DBA" w:rsidRPr="002857A4">
        <w:rPr>
          <w:rFonts w:ascii="Arial" w:hAnsi="Arial" w:cs="Arial"/>
          <w:b/>
          <w:bCs/>
          <w:sz w:val="20"/>
          <w:szCs w:val="20"/>
        </w:rPr>
        <w:t xml:space="preserve"> – </w:t>
      </w:r>
      <w:r w:rsidR="002857A4">
        <w:rPr>
          <w:rFonts w:ascii="Arial" w:hAnsi="Arial" w:cs="Arial"/>
          <w:b/>
          <w:bCs/>
          <w:sz w:val="20"/>
          <w:szCs w:val="20"/>
        </w:rPr>
        <w:t>PROPIEDADES, MUEBLES Y EQUIPOS</w:t>
      </w:r>
    </w:p>
    <w:p w14:paraId="3FD724CD" w14:textId="77777777" w:rsidR="00014DAB" w:rsidRPr="000D1A16" w:rsidRDefault="00014DAB" w:rsidP="008D7017">
      <w:pPr>
        <w:rPr>
          <w:rFonts w:ascii="Arial" w:hAnsi="Arial" w:cs="Arial"/>
          <w:sz w:val="20"/>
          <w:szCs w:val="20"/>
          <w:highlight w:val="yellow"/>
        </w:rPr>
      </w:pPr>
    </w:p>
    <w:p w14:paraId="3BAB9C46" w14:textId="50C745DE" w:rsidR="00395DBA" w:rsidRPr="000D1A16" w:rsidRDefault="00395DBA" w:rsidP="00DF6558">
      <w:pPr>
        <w:jc w:val="both"/>
        <w:rPr>
          <w:rFonts w:ascii="Arial" w:hAnsi="Arial" w:cs="Arial"/>
          <w:sz w:val="20"/>
          <w:szCs w:val="20"/>
        </w:rPr>
      </w:pPr>
      <w:r w:rsidRPr="000D1A16">
        <w:rPr>
          <w:rFonts w:ascii="Arial" w:hAnsi="Arial" w:cs="Arial"/>
          <w:iCs/>
          <w:sz w:val="20"/>
          <w:szCs w:val="20"/>
        </w:rPr>
        <w:t>Los s</w:t>
      </w:r>
      <w:r w:rsidR="00DF6558" w:rsidRPr="000D1A16">
        <w:rPr>
          <w:rFonts w:ascii="Arial" w:hAnsi="Arial" w:cs="Arial"/>
          <w:iCs/>
          <w:sz w:val="20"/>
          <w:szCs w:val="20"/>
        </w:rPr>
        <w:t xml:space="preserve">aldos al </w:t>
      </w:r>
      <w:r w:rsidR="00C46312">
        <w:rPr>
          <w:rFonts w:ascii="Arial" w:hAnsi="Arial" w:cs="Arial"/>
          <w:iCs/>
          <w:sz w:val="20"/>
          <w:szCs w:val="20"/>
        </w:rPr>
        <w:t xml:space="preserve">31 de diciembre del </w:t>
      </w:r>
      <w:r w:rsidR="00C03AB5">
        <w:rPr>
          <w:rFonts w:ascii="Arial" w:hAnsi="Arial" w:cs="Arial"/>
          <w:iCs/>
          <w:sz w:val="20"/>
          <w:szCs w:val="20"/>
        </w:rPr>
        <w:t>2024</w:t>
      </w:r>
      <w:r w:rsidR="00C46312">
        <w:rPr>
          <w:rFonts w:ascii="Arial" w:hAnsi="Arial" w:cs="Arial"/>
          <w:iCs/>
          <w:sz w:val="20"/>
          <w:szCs w:val="20"/>
        </w:rPr>
        <w:t xml:space="preserve"> y </w:t>
      </w:r>
      <w:r w:rsidR="00C03AB5">
        <w:rPr>
          <w:rFonts w:ascii="Arial" w:hAnsi="Arial" w:cs="Arial"/>
          <w:iCs/>
          <w:sz w:val="20"/>
          <w:szCs w:val="20"/>
        </w:rPr>
        <w:t>2023</w:t>
      </w:r>
      <w:r w:rsidR="00AF6817" w:rsidRPr="000D1A16">
        <w:rPr>
          <w:rFonts w:ascii="Arial" w:hAnsi="Arial" w:cs="Arial"/>
          <w:iCs/>
          <w:sz w:val="20"/>
          <w:szCs w:val="20"/>
        </w:rPr>
        <w:t xml:space="preserve"> de la</w:t>
      </w:r>
      <w:r w:rsidR="00E756C4">
        <w:rPr>
          <w:rFonts w:ascii="Arial" w:hAnsi="Arial" w:cs="Arial"/>
          <w:iCs/>
          <w:sz w:val="20"/>
          <w:szCs w:val="20"/>
        </w:rPr>
        <w:t>s</w:t>
      </w:r>
      <w:r w:rsidR="00AF6817" w:rsidRPr="000D1A16">
        <w:rPr>
          <w:rFonts w:ascii="Arial" w:hAnsi="Arial" w:cs="Arial"/>
          <w:iCs/>
          <w:sz w:val="20"/>
          <w:szCs w:val="20"/>
        </w:rPr>
        <w:t xml:space="preserve"> </w:t>
      </w:r>
      <w:r w:rsidR="00556BFA" w:rsidRPr="000D1A16">
        <w:rPr>
          <w:rFonts w:ascii="Arial" w:hAnsi="Arial" w:cs="Arial"/>
          <w:sz w:val="20"/>
        </w:rPr>
        <w:t>propiedad</w:t>
      </w:r>
      <w:r w:rsidR="00E756C4">
        <w:rPr>
          <w:rFonts w:ascii="Arial" w:hAnsi="Arial" w:cs="Arial"/>
          <w:sz w:val="20"/>
        </w:rPr>
        <w:t>es</w:t>
      </w:r>
      <w:r w:rsidR="00556BFA" w:rsidRPr="000D1A16">
        <w:rPr>
          <w:rFonts w:ascii="Arial" w:hAnsi="Arial" w:cs="Arial"/>
          <w:sz w:val="20"/>
        </w:rPr>
        <w:t xml:space="preserve">, </w:t>
      </w:r>
      <w:r w:rsidR="002857A4">
        <w:rPr>
          <w:rFonts w:ascii="Arial" w:hAnsi="Arial" w:cs="Arial"/>
          <w:sz w:val="20"/>
        </w:rPr>
        <w:t xml:space="preserve">muebles y </w:t>
      </w:r>
      <w:r w:rsidR="00556BFA" w:rsidRPr="000D1A16">
        <w:rPr>
          <w:rFonts w:ascii="Arial" w:hAnsi="Arial" w:cs="Arial"/>
          <w:sz w:val="20"/>
        </w:rPr>
        <w:t xml:space="preserve">equipos </w:t>
      </w:r>
      <w:r w:rsidRPr="000D1A16">
        <w:rPr>
          <w:rFonts w:ascii="Arial" w:hAnsi="Arial" w:cs="Arial"/>
          <w:sz w:val="20"/>
          <w:szCs w:val="20"/>
        </w:rPr>
        <w:t>de la Compañía, son como sigue:</w:t>
      </w:r>
      <w:bookmarkStart w:id="28" w:name="_MON_1391287863"/>
      <w:bookmarkStart w:id="29" w:name="_MON_1391287883"/>
      <w:bookmarkStart w:id="30" w:name="_MON_1391287895"/>
      <w:bookmarkStart w:id="31" w:name="_MON_1391464235"/>
      <w:bookmarkStart w:id="32" w:name="_MON_1391464267"/>
      <w:bookmarkStart w:id="33" w:name="_MON_1391464351"/>
      <w:bookmarkStart w:id="34" w:name="_MON_1391850562"/>
      <w:bookmarkStart w:id="35" w:name="_MON_1391861702"/>
      <w:bookmarkStart w:id="36" w:name="_MON_1391861819"/>
      <w:bookmarkStart w:id="37" w:name="_MON_1391862389"/>
      <w:bookmarkStart w:id="38" w:name="_MON_1391862417"/>
      <w:bookmarkStart w:id="39" w:name="_MON_1391862455"/>
      <w:bookmarkStart w:id="40" w:name="_MON_1391862591"/>
      <w:bookmarkStart w:id="41" w:name="_MON_1456775800"/>
      <w:bookmarkStart w:id="42" w:name="_MON_1456775886"/>
      <w:bookmarkStart w:id="43" w:name="_MON_1457253610"/>
      <w:bookmarkStart w:id="44" w:name="_MON_1457259068"/>
      <w:bookmarkStart w:id="45" w:name="_MON_1457288043"/>
      <w:bookmarkStart w:id="46" w:name="_MON_1457288194"/>
      <w:bookmarkStart w:id="47" w:name="_MON_1457288248"/>
      <w:bookmarkStart w:id="48" w:name="_MON_1361777025"/>
      <w:bookmarkStart w:id="49" w:name="_MON_1361797670"/>
      <w:bookmarkStart w:id="50" w:name="_MON_1361956701"/>
      <w:bookmarkStart w:id="51" w:name="_MON_1361963688"/>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14:paraId="4196EE10" w14:textId="77777777" w:rsidR="00AC1316" w:rsidRPr="000D1A16" w:rsidRDefault="00AC1316" w:rsidP="00DF6558">
      <w:pPr>
        <w:jc w:val="both"/>
        <w:rPr>
          <w:rFonts w:ascii="Arial" w:hAnsi="Arial" w:cs="Arial"/>
          <w:sz w:val="20"/>
          <w:szCs w:val="20"/>
        </w:rPr>
      </w:pPr>
    </w:p>
    <w:bookmarkStart w:id="52" w:name="_MON_1617040152"/>
    <w:bookmarkEnd w:id="52"/>
    <w:p w14:paraId="5637C456" w14:textId="0CED1366" w:rsidR="00DA5700" w:rsidRDefault="00217790" w:rsidP="00DA5700">
      <w:pPr>
        <w:pStyle w:val="Textoindependiente"/>
        <w:tabs>
          <w:tab w:val="right" w:pos="9072"/>
        </w:tabs>
        <w:jc w:val="left"/>
        <w:rPr>
          <w:rFonts w:ascii="Arial" w:hAnsi="Arial" w:cs="Arial"/>
          <w:iCs/>
          <w:sz w:val="20"/>
        </w:rPr>
      </w:pPr>
      <w:r>
        <w:rPr>
          <w:rFonts w:ascii="Arial" w:hAnsi="Arial" w:cs="Arial"/>
          <w:iCs/>
          <w:noProof/>
          <w:sz w:val="20"/>
        </w:rPr>
        <w:object w:dxaOrig="14732" w:dyaOrig="5488" w14:anchorId="56D92D51">
          <v:shape id="_x0000_i1029" type="#_x0000_t75" alt="" style="width:453pt;height:210.6pt" o:ole="">
            <v:imagedata r:id="rId16" o:title=""/>
          </v:shape>
          <o:OLEObject Type="Embed" ProgID="Excel.Sheet.12" ShapeID="_x0000_i1029" DrawAspect="Content" ObjectID="_1807083692" r:id="rId17"/>
        </w:object>
      </w:r>
    </w:p>
    <w:p w14:paraId="3473FFFE" w14:textId="0592598D" w:rsidR="00D10708" w:rsidRDefault="00DC50DE" w:rsidP="00DA5700">
      <w:pPr>
        <w:pStyle w:val="Textoindependiente"/>
        <w:tabs>
          <w:tab w:val="right" w:pos="9072"/>
        </w:tabs>
        <w:rPr>
          <w:rFonts w:ascii="Arial" w:hAnsi="Arial" w:cs="Arial"/>
          <w:sz w:val="20"/>
        </w:rPr>
      </w:pPr>
      <w:r>
        <w:rPr>
          <w:rFonts w:ascii="Arial" w:hAnsi="Arial" w:cs="Arial"/>
          <w:sz w:val="20"/>
        </w:rPr>
        <w:t>Al</w:t>
      </w:r>
      <w:r w:rsidR="007E0F0A" w:rsidRPr="000D1A16">
        <w:rPr>
          <w:rFonts w:ascii="Arial" w:hAnsi="Arial" w:cs="Arial"/>
          <w:sz w:val="20"/>
        </w:rPr>
        <w:t xml:space="preserve"> </w:t>
      </w:r>
      <w:r w:rsidR="006D45BC">
        <w:rPr>
          <w:rFonts w:ascii="Arial" w:hAnsi="Arial" w:cs="Arial"/>
          <w:sz w:val="20"/>
        </w:rPr>
        <w:t xml:space="preserve">31 de diciembre del </w:t>
      </w:r>
      <w:r w:rsidR="00C03AB5">
        <w:rPr>
          <w:rFonts w:ascii="Arial" w:hAnsi="Arial" w:cs="Arial"/>
          <w:sz w:val="20"/>
        </w:rPr>
        <w:t>2024</w:t>
      </w:r>
      <w:r w:rsidR="00C870E3">
        <w:rPr>
          <w:rFonts w:ascii="Arial" w:hAnsi="Arial" w:cs="Arial"/>
          <w:sz w:val="20"/>
        </w:rPr>
        <w:t xml:space="preserve"> y </w:t>
      </w:r>
      <w:r w:rsidR="00C03AB5">
        <w:rPr>
          <w:rFonts w:ascii="Arial" w:hAnsi="Arial" w:cs="Arial"/>
          <w:sz w:val="20"/>
        </w:rPr>
        <w:t>2023</w:t>
      </w:r>
      <w:r w:rsidR="00D10708" w:rsidRPr="000D1A16">
        <w:rPr>
          <w:rFonts w:ascii="Arial" w:hAnsi="Arial" w:cs="Arial"/>
          <w:sz w:val="20"/>
        </w:rPr>
        <w:t xml:space="preserve"> el mo</w:t>
      </w:r>
      <w:r w:rsidR="00AF6817" w:rsidRPr="000D1A16">
        <w:rPr>
          <w:rFonts w:ascii="Arial" w:hAnsi="Arial" w:cs="Arial"/>
          <w:sz w:val="20"/>
        </w:rPr>
        <w:t>vim</w:t>
      </w:r>
      <w:r w:rsidR="00556BFA" w:rsidRPr="000D1A16">
        <w:rPr>
          <w:rFonts w:ascii="Arial" w:hAnsi="Arial" w:cs="Arial"/>
          <w:sz w:val="20"/>
        </w:rPr>
        <w:t xml:space="preserve">iento de propiedades, </w:t>
      </w:r>
      <w:r w:rsidR="006D45BC">
        <w:rPr>
          <w:rFonts w:ascii="Arial" w:hAnsi="Arial" w:cs="Arial"/>
          <w:sz w:val="20"/>
        </w:rPr>
        <w:t>muebles y</w:t>
      </w:r>
      <w:r w:rsidR="00D10708" w:rsidRPr="000D1A16">
        <w:rPr>
          <w:rFonts w:ascii="Arial" w:hAnsi="Arial" w:cs="Arial"/>
          <w:sz w:val="20"/>
        </w:rPr>
        <w:t xml:space="preserve"> equipo</w:t>
      </w:r>
      <w:r w:rsidR="00AF6817" w:rsidRPr="000D1A16">
        <w:rPr>
          <w:rFonts w:ascii="Arial" w:hAnsi="Arial" w:cs="Arial"/>
          <w:sz w:val="20"/>
        </w:rPr>
        <w:t>s</w:t>
      </w:r>
      <w:r w:rsidR="00556BFA" w:rsidRPr="000D1A16">
        <w:rPr>
          <w:rFonts w:ascii="Arial" w:hAnsi="Arial" w:cs="Arial"/>
          <w:sz w:val="20"/>
        </w:rPr>
        <w:t xml:space="preserve"> </w:t>
      </w:r>
      <w:r>
        <w:rPr>
          <w:rFonts w:ascii="Arial" w:hAnsi="Arial" w:cs="Arial"/>
          <w:sz w:val="20"/>
        </w:rPr>
        <w:t>son</w:t>
      </w:r>
      <w:r w:rsidR="00D10708" w:rsidRPr="000D1A16">
        <w:rPr>
          <w:rFonts w:ascii="Arial" w:hAnsi="Arial" w:cs="Arial"/>
          <w:sz w:val="20"/>
        </w:rPr>
        <w:t xml:space="preserve"> como sigue:</w:t>
      </w:r>
    </w:p>
    <w:p w14:paraId="5A823323" w14:textId="4FF0B967" w:rsidR="00217790" w:rsidRDefault="00217790" w:rsidP="00DA5700">
      <w:pPr>
        <w:pStyle w:val="Textoindependiente"/>
        <w:tabs>
          <w:tab w:val="right" w:pos="9072"/>
        </w:tabs>
        <w:rPr>
          <w:rFonts w:ascii="Arial" w:hAnsi="Arial" w:cs="Arial"/>
          <w:sz w:val="20"/>
        </w:rPr>
      </w:pPr>
    </w:p>
    <w:bookmarkStart w:id="53" w:name="_MON_1807005733"/>
    <w:bookmarkEnd w:id="53"/>
    <w:p w14:paraId="61058FA3" w14:textId="54528796" w:rsidR="00217790" w:rsidRDefault="009F67B2" w:rsidP="00DA5700">
      <w:pPr>
        <w:pStyle w:val="Textoindependiente"/>
        <w:tabs>
          <w:tab w:val="right" w:pos="9072"/>
        </w:tabs>
        <w:rPr>
          <w:rFonts w:ascii="Arial" w:hAnsi="Arial" w:cs="Arial"/>
          <w:sz w:val="20"/>
        </w:rPr>
      </w:pPr>
      <w:r>
        <w:rPr>
          <w:rFonts w:ascii="Arial" w:hAnsi="Arial" w:cs="Arial"/>
          <w:iCs/>
          <w:noProof/>
          <w:sz w:val="20"/>
        </w:rPr>
        <w:object w:dxaOrig="7854" w:dyaOrig="3690" w14:anchorId="3A8E9CFB">
          <v:shape id="_x0000_i1030" type="#_x0000_t75" alt="" style="width:422.4pt;height:201pt" o:ole="">
            <v:imagedata r:id="rId18" o:title=""/>
          </v:shape>
          <o:OLEObject Type="Embed" ProgID="Excel.Sheet.12" ShapeID="_x0000_i1030" DrawAspect="Content" ObjectID="_1807083693" r:id="rId19"/>
        </w:object>
      </w:r>
    </w:p>
    <w:p w14:paraId="62C305C0" w14:textId="6EC08F4F" w:rsidR="00663CC8" w:rsidRDefault="00663CC8" w:rsidP="00DA5700">
      <w:pPr>
        <w:pStyle w:val="Textoindependiente"/>
        <w:tabs>
          <w:tab w:val="right" w:pos="9072"/>
        </w:tabs>
        <w:rPr>
          <w:rFonts w:ascii="Arial" w:hAnsi="Arial" w:cs="Arial"/>
          <w:sz w:val="20"/>
        </w:rPr>
      </w:pPr>
    </w:p>
    <w:bookmarkStart w:id="54" w:name="_MON_1769956186"/>
    <w:bookmarkEnd w:id="54"/>
    <w:p w14:paraId="6C46AD80" w14:textId="64C41C7E" w:rsidR="00663CC8" w:rsidRDefault="00217790" w:rsidP="00DA5700">
      <w:pPr>
        <w:pStyle w:val="Textoindependiente"/>
        <w:tabs>
          <w:tab w:val="right" w:pos="9072"/>
        </w:tabs>
        <w:rPr>
          <w:rFonts w:ascii="Arial" w:hAnsi="Arial" w:cs="Arial"/>
          <w:sz w:val="20"/>
        </w:rPr>
      </w:pPr>
      <w:r>
        <w:rPr>
          <w:rFonts w:ascii="Arial" w:hAnsi="Arial" w:cs="Arial"/>
          <w:iCs/>
          <w:noProof/>
          <w:sz w:val="20"/>
        </w:rPr>
        <w:object w:dxaOrig="7854" w:dyaOrig="3033" w14:anchorId="6E7B059A">
          <v:shape id="_x0000_i1031" type="#_x0000_t75" alt="" style="width:422.4pt;height:165pt" o:ole="">
            <v:imagedata r:id="rId20" o:title=""/>
          </v:shape>
          <o:OLEObject Type="Embed" ProgID="Excel.Sheet.12" ShapeID="_x0000_i1031" DrawAspect="Content" ObjectID="_1807083694" r:id="rId21"/>
        </w:object>
      </w:r>
    </w:p>
    <w:p w14:paraId="61308A90" w14:textId="77777777" w:rsidR="00077987" w:rsidRDefault="00077987" w:rsidP="00DA5700">
      <w:pPr>
        <w:pStyle w:val="Textoindependiente"/>
        <w:tabs>
          <w:tab w:val="right" w:pos="9072"/>
        </w:tabs>
        <w:rPr>
          <w:rFonts w:ascii="Arial" w:hAnsi="Arial" w:cs="Arial"/>
          <w:sz w:val="20"/>
        </w:rPr>
      </w:pPr>
    </w:p>
    <w:p w14:paraId="28110209" w14:textId="3D481EC9" w:rsidR="00557D58" w:rsidRPr="00963E92" w:rsidRDefault="00557D58" w:rsidP="00FB166E">
      <w:pPr>
        <w:rPr>
          <w:rFonts w:ascii="Arial" w:hAnsi="Arial" w:cs="Arial"/>
          <w:b/>
          <w:sz w:val="20"/>
          <w:highlight w:val="magenta"/>
        </w:rPr>
      </w:pPr>
      <w:r w:rsidRPr="00EF4470">
        <w:rPr>
          <w:rFonts w:ascii="Arial" w:hAnsi="Arial" w:cs="Arial"/>
          <w:b/>
          <w:sz w:val="20"/>
        </w:rPr>
        <w:lastRenderedPageBreak/>
        <w:t xml:space="preserve">NOTA </w:t>
      </w:r>
      <w:r w:rsidR="0057169A">
        <w:rPr>
          <w:rFonts w:ascii="Arial" w:hAnsi="Arial" w:cs="Arial"/>
          <w:b/>
          <w:sz w:val="20"/>
        </w:rPr>
        <w:t>10</w:t>
      </w:r>
      <w:r w:rsidRPr="00EF4470">
        <w:rPr>
          <w:rFonts w:ascii="Arial" w:hAnsi="Arial" w:cs="Arial"/>
          <w:b/>
          <w:sz w:val="20"/>
        </w:rPr>
        <w:t xml:space="preserve"> – CUENTAS POR PAGAR – PROVEEDORES</w:t>
      </w:r>
    </w:p>
    <w:p w14:paraId="2F87DAD4" w14:textId="77777777" w:rsidR="00557D58" w:rsidRDefault="00557D58" w:rsidP="00FB166E">
      <w:pPr>
        <w:rPr>
          <w:rFonts w:ascii="Arial" w:hAnsi="Arial" w:cs="Arial"/>
          <w:b/>
          <w:sz w:val="20"/>
        </w:rPr>
      </w:pPr>
    </w:p>
    <w:p w14:paraId="09E2BC67" w14:textId="471B4284" w:rsidR="00557D58" w:rsidRPr="000D1A16" w:rsidRDefault="00557D58" w:rsidP="00557D58">
      <w:pPr>
        <w:pStyle w:val="Textoindependiente"/>
        <w:rPr>
          <w:rFonts w:ascii="Arial" w:hAnsi="Arial" w:cs="Arial"/>
          <w:iCs/>
          <w:sz w:val="20"/>
        </w:rPr>
      </w:pPr>
      <w:r w:rsidRPr="000D1A16">
        <w:rPr>
          <w:rFonts w:ascii="Arial" w:hAnsi="Arial" w:cs="Arial"/>
          <w:iCs/>
          <w:sz w:val="20"/>
        </w:rPr>
        <w:t>Los saldos al 31 de di</w:t>
      </w:r>
      <w:r w:rsidR="00077987">
        <w:rPr>
          <w:rFonts w:ascii="Arial" w:hAnsi="Arial" w:cs="Arial"/>
          <w:iCs/>
          <w:sz w:val="20"/>
        </w:rPr>
        <w:t xml:space="preserve">ciembre del </w:t>
      </w:r>
      <w:r w:rsidR="00C03AB5">
        <w:rPr>
          <w:rFonts w:ascii="Arial" w:hAnsi="Arial" w:cs="Arial"/>
          <w:iCs/>
          <w:sz w:val="20"/>
        </w:rPr>
        <w:t>2024</w:t>
      </w:r>
      <w:r w:rsidR="00077987">
        <w:rPr>
          <w:rFonts w:ascii="Arial" w:hAnsi="Arial" w:cs="Arial"/>
          <w:iCs/>
          <w:sz w:val="20"/>
        </w:rPr>
        <w:t xml:space="preserve"> y </w:t>
      </w:r>
      <w:r w:rsidR="00C03AB5">
        <w:rPr>
          <w:rFonts w:ascii="Arial" w:hAnsi="Arial" w:cs="Arial"/>
          <w:iCs/>
          <w:sz w:val="20"/>
        </w:rPr>
        <w:t>2023</w:t>
      </w:r>
      <w:r w:rsidRPr="000D1A16">
        <w:rPr>
          <w:rFonts w:ascii="Arial" w:hAnsi="Arial" w:cs="Arial"/>
          <w:iCs/>
          <w:sz w:val="20"/>
        </w:rPr>
        <w:t xml:space="preserve"> </w:t>
      </w:r>
      <w:r>
        <w:rPr>
          <w:rFonts w:ascii="Arial" w:hAnsi="Arial" w:cs="Arial"/>
          <w:iCs/>
          <w:sz w:val="20"/>
        </w:rPr>
        <w:t xml:space="preserve">de las cuentas por pagar – proveedores </w:t>
      </w:r>
      <w:r w:rsidRPr="000D1A16">
        <w:rPr>
          <w:rFonts w:ascii="Arial" w:hAnsi="Arial" w:cs="Arial"/>
          <w:iCs/>
          <w:sz w:val="20"/>
        </w:rPr>
        <w:t>son como sigue:</w:t>
      </w:r>
    </w:p>
    <w:p w14:paraId="5A627689" w14:textId="77777777" w:rsidR="00557D58" w:rsidRDefault="00557D58" w:rsidP="00FB166E">
      <w:pPr>
        <w:rPr>
          <w:rFonts w:ascii="Arial" w:hAnsi="Arial" w:cs="Arial"/>
          <w:b/>
          <w:sz w:val="20"/>
        </w:rPr>
      </w:pPr>
    </w:p>
    <w:bookmarkStart w:id="55" w:name="_MON_1616945880"/>
    <w:bookmarkEnd w:id="55"/>
    <w:p w14:paraId="0E6A4BAD" w14:textId="0BAB18D4" w:rsidR="00557D58" w:rsidRDefault="00BB52A6" w:rsidP="00FB166E">
      <w:pPr>
        <w:rPr>
          <w:rFonts w:ascii="Arial" w:hAnsi="Arial" w:cs="Arial"/>
          <w:b/>
          <w:sz w:val="20"/>
        </w:rPr>
      </w:pPr>
      <w:r>
        <w:rPr>
          <w:rFonts w:ascii="Arial" w:hAnsi="Arial" w:cs="Arial"/>
          <w:b/>
          <w:noProof/>
          <w:sz w:val="20"/>
        </w:rPr>
        <w:object w:dxaOrig="6633" w:dyaOrig="1984" w14:anchorId="47020453">
          <v:shape id="_x0000_i1032" type="#_x0000_t75" alt="" style="width:331.8pt;height:108.6pt" o:ole="">
            <v:imagedata r:id="rId22" o:title=""/>
          </v:shape>
          <o:OLEObject Type="Embed" ProgID="Excel.Sheet.12" ShapeID="_x0000_i1032" DrawAspect="Content" ObjectID="_1807083695" r:id="rId23"/>
        </w:object>
      </w:r>
    </w:p>
    <w:p w14:paraId="5E543112" w14:textId="36749405" w:rsidR="009F67B2" w:rsidRPr="009F67B2" w:rsidRDefault="00B157DF" w:rsidP="009F67B2">
      <w:pPr>
        <w:pStyle w:val="Prrafodelista"/>
        <w:numPr>
          <w:ilvl w:val="0"/>
          <w:numId w:val="17"/>
        </w:numPr>
        <w:ind w:left="426" w:hanging="426"/>
        <w:rPr>
          <w:rFonts w:ascii="Arial" w:hAnsi="Arial" w:cs="Arial"/>
          <w:sz w:val="20"/>
        </w:rPr>
      </w:pPr>
      <w:r>
        <w:rPr>
          <w:rFonts w:ascii="Arial" w:hAnsi="Arial" w:cs="Arial"/>
          <w:sz w:val="20"/>
        </w:rPr>
        <w:t xml:space="preserve">Los anticipos de clientes, corresponden a: i) </w:t>
      </w:r>
      <w:r w:rsidRPr="00B23A01">
        <w:rPr>
          <w:rFonts w:ascii="Arial" w:hAnsi="Arial" w:cs="Arial"/>
          <w:sz w:val="20"/>
        </w:rPr>
        <w:t xml:space="preserve">contrato firmado por la venta </w:t>
      </w:r>
      <w:r w:rsidR="00644F4E" w:rsidRPr="00B23A01">
        <w:rPr>
          <w:rFonts w:ascii="Arial" w:hAnsi="Arial" w:cs="Arial"/>
          <w:sz w:val="20"/>
        </w:rPr>
        <w:t>de servicios</w:t>
      </w:r>
      <w:r w:rsidR="00644F4E">
        <w:rPr>
          <w:rFonts w:ascii="Arial" w:hAnsi="Arial" w:cs="Arial"/>
          <w:sz w:val="20"/>
        </w:rPr>
        <w:t xml:space="preserve"> para el desarrollo conceptual de un proyecto de inversión de generación solar fotovoltaica, con</w:t>
      </w:r>
      <w:r>
        <w:rPr>
          <w:rFonts w:ascii="Arial" w:hAnsi="Arial" w:cs="Arial"/>
          <w:sz w:val="20"/>
        </w:rPr>
        <w:t xml:space="preserve"> </w:t>
      </w:r>
      <w:r w:rsidR="00644F4E">
        <w:rPr>
          <w:rFonts w:ascii="Arial" w:hAnsi="Arial" w:cs="Arial"/>
          <w:sz w:val="20"/>
        </w:rPr>
        <w:t>diseño definitivo para</w:t>
      </w:r>
      <w:r>
        <w:rPr>
          <w:rFonts w:ascii="Arial" w:hAnsi="Arial" w:cs="Arial"/>
          <w:sz w:val="20"/>
        </w:rPr>
        <w:t xml:space="preserve"> la construcción de una planta y su </w:t>
      </w:r>
      <w:r w:rsidR="00644F4E">
        <w:rPr>
          <w:rFonts w:ascii="Arial" w:hAnsi="Arial" w:cs="Arial"/>
          <w:sz w:val="20"/>
        </w:rPr>
        <w:t>modelo de negocio</w:t>
      </w:r>
      <w:r>
        <w:rPr>
          <w:rFonts w:ascii="Arial" w:hAnsi="Arial" w:cs="Arial"/>
          <w:sz w:val="20"/>
        </w:rPr>
        <w:t xml:space="preserve"> por US$179.230 que será facturado </w:t>
      </w:r>
      <w:r w:rsidR="00644F4E">
        <w:rPr>
          <w:rFonts w:ascii="Arial" w:hAnsi="Arial" w:cs="Arial"/>
          <w:sz w:val="20"/>
        </w:rPr>
        <w:t xml:space="preserve">en su totalidad </w:t>
      </w:r>
      <w:r>
        <w:rPr>
          <w:rFonts w:ascii="Arial" w:hAnsi="Arial" w:cs="Arial"/>
          <w:sz w:val="20"/>
        </w:rPr>
        <w:t xml:space="preserve">una vez </w:t>
      </w:r>
      <w:r w:rsidR="00644F4E">
        <w:rPr>
          <w:rFonts w:ascii="Arial" w:hAnsi="Arial" w:cs="Arial"/>
          <w:sz w:val="20"/>
        </w:rPr>
        <w:t>se haya terminado con el servicio</w:t>
      </w:r>
      <w:r>
        <w:rPr>
          <w:rFonts w:ascii="Arial" w:hAnsi="Arial" w:cs="Arial"/>
          <w:sz w:val="20"/>
        </w:rPr>
        <w:t xml:space="preserve">, y ; 2) </w:t>
      </w:r>
      <w:r w:rsidRPr="00B23A01">
        <w:rPr>
          <w:rFonts w:ascii="Arial" w:hAnsi="Arial" w:cs="Arial"/>
          <w:sz w:val="20"/>
        </w:rPr>
        <w:t>contrato firmado para la asesoría en la revisión de calidad y generación</w:t>
      </w:r>
      <w:r>
        <w:rPr>
          <w:rFonts w:ascii="Arial" w:hAnsi="Arial" w:cs="Arial"/>
          <w:sz w:val="20"/>
        </w:rPr>
        <w:t xml:space="preserve"> de manuales de gestión y mantenimiento de los equipos de generación de energía eléctrica del proyecto de homologación de inventarios por US$99.800 que serán facturados una vez se haya culminado el pro</w:t>
      </w:r>
      <w:r w:rsidR="009504C3">
        <w:rPr>
          <w:rFonts w:ascii="Arial" w:hAnsi="Arial" w:cs="Arial"/>
          <w:sz w:val="20"/>
        </w:rPr>
        <w:t>ye</w:t>
      </w:r>
      <w:r>
        <w:rPr>
          <w:rFonts w:ascii="Arial" w:hAnsi="Arial" w:cs="Arial"/>
          <w:sz w:val="20"/>
        </w:rPr>
        <w:t>cto.</w:t>
      </w:r>
      <w:r w:rsidR="009F67B2">
        <w:rPr>
          <w:rFonts w:ascii="Arial" w:hAnsi="Arial" w:cs="Arial"/>
          <w:sz w:val="20"/>
        </w:rPr>
        <w:t xml:space="preserve"> En el año 2024 estos anticipos fueron facturados en su totalidad</w:t>
      </w:r>
    </w:p>
    <w:p w14:paraId="15D3B11B" w14:textId="77777777" w:rsidR="00B23A01" w:rsidRDefault="00B23A01" w:rsidP="00B23A01">
      <w:pPr>
        <w:pStyle w:val="Prrafodelista"/>
        <w:ind w:left="426"/>
        <w:rPr>
          <w:rFonts w:ascii="Arial" w:hAnsi="Arial" w:cs="Arial"/>
          <w:sz w:val="20"/>
        </w:rPr>
      </w:pPr>
    </w:p>
    <w:p w14:paraId="68D43F2D" w14:textId="2B4EDBEB" w:rsidR="00DB77BE" w:rsidRPr="00B23A01" w:rsidRDefault="00DB77BE" w:rsidP="00DB77BE">
      <w:pPr>
        <w:jc w:val="both"/>
        <w:rPr>
          <w:rFonts w:ascii="Arial" w:hAnsi="Arial" w:cs="Arial"/>
          <w:b/>
          <w:bCs/>
          <w:sz w:val="20"/>
          <w:szCs w:val="20"/>
        </w:rPr>
      </w:pPr>
      <w:r w:rsidRPr="00B23A01">
        <w:rPr>
          <w:rFonts w:ascii="Arial" w:hAnsi="Arial" w:cs="Arial"/>
          <w:b/>
          <w:bCs/>
          <w:sz w:val="20"/>
          <w:szCs w:val="20"/>
        </w:rPr>
        <w:t>NOTA 11 – Préstamos por pagar terceros</w:t>
      </w:r>
    </w:p>
    <w:p w14:paraId="4EFDC1F4" w14:textId="7806903E" w:rsidR="00DB77BE" w:rsidRPr="00B23A01" w:rsidRDefault="00DB77BE" w:rsidP="001D1EF7">
      <w:pPr>
        <w:jc w:val="both"/>
        <w:rPr>
          <w:rFonts w:ascii="Arial" w:hAnsi="Arial" w:cs="Arial"/>
          <w:b/>
          <w:bCs/>
          <w:sz w:val="20"/>
          <w:szCs w:val="20"/>
        </w:rPr>
      </w:pPr>
    </w:p>
    <w:p w14:paraId="2ED89C3A" w14:textId="05FC37DB" w:rsidR="00DB77BE" w:rsidRDefault="00B157DF" w:rsidP="001D1EF7">
      <w:pPr>
        <w:jc w:val="both"/>
        <w:rPr>
          <w:rFonts w:ascii="Arial" w:hAnsi="Arial" w:cs="Arial"/>
          <w:sz w:val="20"/>
          <w:szCs w:val="20"/>
        </w:rPr>
      </w:pPr>
      <w:r w:rsidRPr="00B23A01">
        <w:rPr>
          <w:rFonts w:ascii="Arial" w:hAnsi="Arial" w:cs="Arial"/>
          <w:sz w:val="20"/>
          <w:szCs w:val="20"/>
        </w:rPr>
        <w:t xml:space="preserve">Los saldos por pagar a terceros al 31 de diciembre del </w:t>
      </w:r>
      <w:r w:rsidR="00C03AB5">
        <w:rPr>
          <w:rFonts w:ascii="Arial" w:hAnsi="Arial" w:cs="Arial"/>
          <w:sz w:val="20"/>
          <w:szCs w:val="20"/>
        </w:rPr>
        <w:t>2024</w:t>
      </w:r>
      <w:r w:rsidRPr="00B23A01">
        <w:rPr>
          <w:rFonts w:ascii="Arial" w:hAnsi="Arial" w:cs="Arial"/>
          <w:sz w:val="20"/>
          <w:szCs w:val="20"/>
        </w:rPr>
        <w:t xml:space="preserve">, corresponde a un préstamo otorgado que fue utilizado para la compra del terreno ubicado en </w:t>
      </w:r>
      <w:proofErr w:type="spellStart"/>
      <w:r w:rsidRPr="00B23A01">
        <w:rPr>
          <w:rFonts w:ascii="Arial" w:hAnsi="Arial" w:cs="Arial"/>
          <w:sz w:val="20"/>
          <w:szCs w:val="20"/>
        </w:rPr>
        <w:t>Pintag</w:t>
      </w:r>
      <w:proofErr w:type="spellEnd"/>
      <w:r w:rsidRPr="00B23A01">
        <w:rPr>
          <w:rFonts w:ascii="Arial" w:hAnsi="Arial" w:cs="Arial"/>
          <w:sz w:val="20"/>
          <w:szCs w:val="20"/>
        </w:rPr>
        <w:t>, donde se realizará el proyecto de construcción de una planta fotovoltaica de generación de energía solar.</w:t>
      </w:r>
      <w:r w:rsidR="00BB52A6">
        <w:rPr>
          <w:rFonts w:ascii="Arial" w:hAnsi="Arial" w:cs="Arial"/>
          <w:sz w:val="20"/>
          <w:szCs w:val="20"/>
        </w:rPr>
        <w:t xml:space="preserve"> </w:t>
      </w:r>
      <w:proofErr w:type="gramStart"/>
      <w:r w:rsidR="00BB52A6">
        <w:rPr>
          <w:rFonts w:ascii="Arial" w:hAnsi="Arial" w:cs="Arial"/>
          <w:sz w:val="20"/>
          <w:szCs w:val="20"/>
        </w:rPr>
        <w:t>Éstos</w:t>
      </w:r>
      <w:proofErr w:type="gramEnd"/>
      <w:r w:rsidR="00BB52A6">
        <w:rPr>
          <w:rFonts w:ascii="Arial" w:hAnsi="Arial" w:cs="Arial"/>
          <w:sz w:val="20"/>
          <w:szCs w:val="20"/>
        </w:rPr>
        <w:t xml:space="preserve"> préstamos no generan intereses ni tienen definido un plan de pagos.</w:t>
      </w:r>
    </w:p>
    <w:p w14:paraId="05CEC6D0" w14:textId="68ADBAC1" w:rsidR="00B157DF" w:rsidRDefault="00B157DF" w:rsidP="001D1EF7">
      <w:pPr>
        <w:jc w:val="both"/>
        <w:rPr>
          <w:rFonts w:ascii="Arial" w:hAnsi="Arial" w:cs="Arial"/>
          <w:sz w:val="20"/>
          <w:szCs w:val="20"/>
        </w:rPr>
      </w:pPr>
    </w:p>
    <w:p w14:paraId="7C439B64" w14:textId="02A7E250" w:rsidR="00B157DF" w:rsidRDefault="00B157DF" w:rsidP="00B157DF">
      <w:pPr>
        <w:jc w:val="both"/>
        <w:rPr>
          <w:rFonts w:ascii="Arial" w:hAnsi="Arial" w:cs="Arial"/>
          <w:b/>
          <w:bCs/>
          <w:sz w:val="20"/>
          <w:szCs w:val="20"/>
        </w:rPr>
      </w:pPr>
      <w:r w:rsidRPr="005110AA">
        <w:rPr>
          <w:rFonts w:ascii="Arial" w:hAnsi="Arial" w:cs="Arial"/>
          <w:b/>
          <w:bCs/>
          <w:sz w:val="20"/>
          <w:szCs w:val="20"/>
        </w:rPr>
        <w:t>N</w:t>
      </w:r>
      <w:r>
        <w:rPr>
          <w:rFonts w:ascii="Arial" w:hAnsi="Arial" w:cs="Arial"/>
          <w:b/>
          <w:bCs/>
          <w:sz w:val="20"/>
          <w:szCs w:val="20"/>
        </w:rPr>
        <w:t>OTA 12</w:t>
      </w:r>
      <w:r w:rsidRPr="005110AA">
        <w:rPr>
          <w:rFonts w:ascii="Arial" w:hAnsi="Arial" w:cs="Arial"/>
          <w:b/>
          <w:bCs/>
          <w:sz w:val="20"/>
          <w:szCs w:val="20"/>
        </w:rPr>
        <w:t xml:space="preserve"> – </w:t>
      </w:r>
      <w:r>
        <w:rPr>
          <w:rFonts w:ascii="Arial" w:hAnsi="Arial" w:cs="Arial"/>
          <w:b/>
          <w:bCs/>
          <w:sz w:val="20"/>
          <w:szCs w:val="20"/>
        </w:rPr>
        <w:t>INGRESOS DIFERIDOS</w:t>
      </w:r>
    </w:p>
    <w:p w14:paraId="7DA1D327" w14:textId="442E72EF" w:rsidR="00B157DF" w:rsidRDefault="00B157DF" w:rsidP="00B157DF">
      <w:pPr>
        <w:jc w:val="both"/>
        <w:rPr>
          <w:rFonts w:ascii="Arial" w:hAnsi="Arial" w:cs="Arial"/>
          <w:b/>
          <w:bCs/>
          <w:sz w:val="20"/>
          <w:szCs w:val="20"/>
        </w:rPr>
      </w:pPr>
    </w:p>
    <w:p w14:paraId="44FC1DA8" w14:textId="099687CB" w:rsidR="00B157DF" w:rsidRPr="00B157DF" w:rsidRDefault="00B157DF" w:rsidP="00B157DF">
      <w:pPr>
        <w:jc w:val="both"/>
        <w:rPr>
          <w:rFonts w:ascii="Arial" w:hAnsi="Arial" w:cs="Arial"/>
          <w:sz w:val="20"/>
          <w:szCs w:val="20"/>
        </w:rPr>
      </w:pPr>
      <w:r w:rsidRPr="00B157DF">
        <w:rPr>
          <w:rFonts w:ascii="Arial" w:hAnsi="Arial" w:cs="Arial"/>
          <w:sz w:val="20"/>
          <w:szCs w:val="20"/>
        </w:rPr>
        <w:t xml:space="preserve">Los saldos por ingresos diferidos al 31 de diciembre del </w:t>
      </w:r>
      <w:r w:rsidR="00C03AB5">
        <w:rPr>
          <w:rFonts w:ascii="Arial" w:hAnsi="Arial" w:cs="Arial"/>
          <w:sz w:val="20"/>
          <w:szCs w:val="20"/>
        </w:rPr>
        <w:t>2024</w:t>
      </w:r>
      <w:r w:rsidR="00BB52A6">
        <w:rPr>
          <w:rFonts w:ascii="Arial" w:hAnsi="Arial" w:cs="Arial"/>
          <w:sz w:val="20"/>
          <w:szCs w:val="20"/>
        </w:rPr>
        <w:t xml:space="preserve"> por el Valor de US$85.000 (US$143.089 al 31 de diciembre del 2023)</w:t>
      </w:r>
      <w:r w:rsidRPr="00B157DF">
        <w:rPr>
          <w:rFonts w:ascii="Arial" w:hAnsi="Arial" w:cs="Arial"/>
          <w:sz w:val="20"/>
          <w:szCs w:val="20"/>
        </w:rPr>
        <w:t xml:space="preserve">, corresponde a la prestación de servicios de la compañía, relacionado con la constatación y valoración de activos fijos, por lo cual la compañía prestará los servicios de asesoría  en la valoración de los activos de generación de energía, el cual tiene una duración de 13 meses a partir de noviembre </w:t>
      </w:r>
      <w:r w:rsidR="00C03AB5">
        <w:rPr>
          <w:rFonts w:ascii="Arial" w:hAnsi="Arial" w:cs="Arial"/>
          <w:sz w:val="20"/>
          <w:szCs w:val="20"/>
        </w:rPr>
        <w:t>202</w:t>
      </w:r>
      <w:r w:rsidR="00BB52A6">
        <w:rPr>
          <w:rFonts w:ascii="Arial" w:hAnsi="Arial" w:cs="Arial"/>
          <w:sz w:val="20"/>
          <w:szCs w:val="20"/>
        </w:rPr>
        <w:t>3</w:t>
      </w:r>
      <w:r w:rsidRPr="00B157DF">
        <w:rPr>
          <w:rFonts w:ascii="Arial" w:hAnsi="Arial" w:cs="Arial"/>
          <w:sz w:val="20"/>
          <w:szCs w:val="20"/>
        </w:rPr>
        <w:t>, lo cual fue facturado al 100% en la suscripción del contrato, éstos ingresos se irán reconociendo mes a mes una vez se haya recibido la satisfacción del cliente.</w:t>
      </w:r>
      <w:r w:rsidR="00BB52A6">
        <w:rPr>
          <w:rFonts w:ascii="Arial" w:hAnsi="Arial" w:cs="Arial"/>
          <w:sz w:val="20"/>
          <w:szCs w:val="20"/>
        </w:rPr>
        <w:t xml:space="preserve"> Sin </w:t>
      </w:r>
      <w:proofErr w:type="gramStart"/>
      <w:r w:rsidR="00BB52A6">
        <w:rPr>
          <w:rFonts w:ascii="Arial" w:hAnsi="Arial" w:cs="Arial"/>
          <w:sz w:val="20"/>
          <w:szCs w:val="20"/>
        </w:rPr>
        <w:t>embargo</w:t>
      </w:r>
      <w:proofErr w:type="gramEnd"/>
      <w:r w:rsidR="00BB52A6">
        <w:rPr>
          <w:rFonts w:ascii="Arial" w:hAnsi="Arial" w:cs="Arial"/>
          <w:sz w:val="20"/>
          <w:szCs w:val="20"/>
        </w:rPr>
        <w:t xml:space="preserve"> hasta la fecha queda pendiente la aprobación del trabajo realizado por lo cual no se ha podido entregar el 100% de los servicios prestados.</w:t>
      </w:r>
    </w:p>
    <w:p w14:paraId="386A8099" w14:textId="77777777" w:rsidR="00DB77BE" w:rsidRDefault="00DB77BE" w:rsidP="001D1EF7">
      <w:pPr>
        <w:jc w:val="both"/>
        <w:rPr>
          <w:rFonts w:ascii="Arial" w:hAnsi="Arial" w:cs="Arial"/>
          <w:b/>
          <w:bCs/>
          <w:sz w:val="20"/>
          <w:szCs w:val="20"/>
        </w:rPr>
      </w:pPr>
    </w:p>
    <w:p w14:paraId="1CCA5C50" w14:textId="2C25FC28" w:rsidR="008D51B5" w:rsidRPr="000D1A16" w:rsidRDefault="005110AA" w:rsidP="001D1EF7">
      <w:pPr>
        <w:jc w:val="both"/>
        <w:rPr>
          <w:rFonts w:ascii="Arial" w:hAnsi="Arial" w:cs="Arial"/>
          <w:sz w:val="20"/>
          <w:szCs w:val="20"/>
        </w:rPr>
      </w:pPr>
      <w:r w:rsidRPr="005110AA">
        <w:rPr>
          <w:rFonts w:ascii="Arial" w:hAnsi="Arial" w:cs="Arial"/>
          <w:b/>
          <w:bCs/>
          <w:sz w:val="20"/>
          <w:szCs w:val="20"/>
        </w:rPr>
        <w:t>N</w:t>
      </w:r>
      <w:r w:rsidR="0057169A">
        <w:rPr>
          <w:rFonts w:ascii="Arial" w:hAnsi="Arial" w:cs="Arial"/>
          <w:b/>
          <w:bCs/>
          <w:sz w:val="20"/>
          <w:szCs w:val="20"/>
        </w:rPr>
        <w:t>OTA 1</w:t>
      </w:r>
      <w:r w:rsidR="00B157DF">
        <w:rPr>
          <w:rFonts w:ascii="Arial" w:hAnsi="Arial" w:cs="Arial"/>
          <w:b/>
          <w:bCs/>
          <w:sz w:val="20"/>
          <w:szCs w:val="20"/>
        </w:rPr>
        <w:t>3</w:t>
      </w:r>
      <w:r w:rsidR="008D51B5" w:rsidRPr="005110AA">
        <w:rPr>
          <w:rFonts w:ascii="Arial" w:hAnsi="Arial" w:cs="Arial"/>
          <w:b/>
          <w:bCs/>
          <w:sz w:val="20"/>
          <w:szCs w:val="20"/>
        </w:rPr>
        <w:t xml:space="preserve"> – </w:t>
      </w:r>
      <w:r>
        <w:rPr>
          <w:rFonts w:ascii="Arial" w:hAnsi="Arial" w:cs="Arial"/>
          <w:b/>
          <w:bCs/>
          <w:sz w:val="20"/>
          <w:szCs w:val="20"/>
        </w:rPr>
        <w:t>PASIVOS LABORALES</w:t>
      </w:r>
    </w:p>
    <w:p w14:paraId="1A44211D" w14:textId="77777777" w:rsidR="008D51B5" w:rsidRPr="000D1A16" w:rsidRDefault="008D51B5" w:rsidP="008D7017">
      <w:pPr>
        <w:jc w:val="both"/>
        <w:rPr>
          <w:rFonts w:ascii="Arial" w:hAnsi="Arial" w:cs="Arial"/>
          <w:bCs/>
          <w:sz w:val="20"/>
          <w:szCs w:val="20"/>
        </w:rPr>
      </w:pPr>
    </w:p>
    <w:p w14:paraId="42B703EA" w14:textId="01657CE7" w:rsidR="008D51B5" w:rsidRDefault="003B2230" w:rsidP="008D7017">
      <w:pPr>
        <w:pStyle w:val="Textoindependiente"/>
        <w:rPr>
          <w:rFonts w:ascii="Arial" w:hAnsi="Arial" w:cs="Arial"/>
          <w:iCs/>
          <w:sz w:val="20"/>
        </w:rPr>
      </w:pPr>
      <w:r w:rsidRPr="000D1A16">
        <w:rPr>
          <w:rFonts w:ascii="Arial" w:hAnsi="Arial" w:cs="Arial"/>
          <w:iCs/>
          <w:sz w:val="20"/>
        </w:rPr>
        <w:t xml:space="preserve">Los saldos al </w:t>
      </w:r>
      <w:r w:rsidR="00487367">
        <w:rPr>
          <w:rFonts w:ascii="Arial" w:hAnsi="Arial" w:cs="Arial"/>
          <w:iCs/>
          <w:sz w:val="20"/>
        </w:rPr>
        <w:t xml:space="preserve">31 de diciembre del </w:t>
      </w:r>
      <w:r w:rsidR="00C03AB5">
        <w:rPr>
          <w:rFonts w:ascii="Arial" w:hAnsi="Arial" w:cs="Arial"/>
          <w:iCs/>
          <w:sz w:val="20"/>
        </w:rPr>
        <w:t>2024</w:t>
      </w:r>
      <w:r w:rsidR="00487367">
        <w:rPr>
          <w:rFonts w:ascii="Arial" w:hAnsi="Arial" w:cs="Arial"/>
          <w:iCs/>
          <w:sz w:val="20"/>
        </w:rPr>
        <w:t xml:space="preserve"> y </w:t>
      </w:r>
      <w:r w:rsidR="00C03AB5">
        <w:rPr>
          <w:rFonts w:ascii="Arial" w:hAnsi="Arial" w:cs="Arial"/>
          <w:iCs/>
          <w:sz w:val="20"/>
        </w:rPr>
        <w:t>2023</w:t>
      </w:r>
      <w:r w:rsidR="008D51B5" w:rsidRPr="000D1A16">
        <w:rPr>
          <w:rFonts w:ascii="Arial" w:hAnsi="Arial" w:cs="Arial"/>
          <w:iCs/>
          <w:sz w:val="20"/>
        </w:rPr>
        <w:t xml:space="preserve"> </w:t>
      </w:r>
      <w:r w:rsidR="008C58AE" w:rsidRPr="000D1A16">
        <w:rPr>
          <w:rFonts w:ascii="Arial" w:hAnsi="Arial" w:cs="Arial"/>
          <w:iCs/>
          <w:sz w:val="20"/>
        </w:rPr>
        <w:t>de los pasivos laborales son como sigue</w:t>
      </w:r>
      <w:r w:rsidR="008D51B5" w:rsidRPr="000D1A16">
        <w:rPr>
          <w:rFonts w:ascii="Arial" w:hAnsi="Arial" w:cs="Arial"/>
          <w:iCs/>
          <w:sz w:val="20"/>
        </w:rPr>
        <w:t>:</w:t>
      </w:r>
    </w:p>
    <w:p w14:paraId="021E128F" w14:textId="31819902" w:rsidR="002758F6" w:rsidRDefault="002758F6" w:rsidP="008D7017">
      <w:pPr>
        <w:pStyle w:val="Textoindependiente"/>
        <w:rPr>
          <w:rFonts w:ascii="Arial" w:hAnsi="Arial" w:cs="Arial"/>
          <w:iCs/>
          <w:sz w:val="20"/>
        </w:rPr>
      </w:pPr>
    </w:p>
    <w:bookmarkStart w:id="56" w:name="_MON_1617042396"/>
    <w:bookmarkEnd w:id="56"/>
    <w:p w14:paraId="56BAB6AA" w14:textId="04842D14" w:rsidR="00F04BCF" w:rsidRDefault="00BB52A6" w:rsidP="005110AA">
      <w:pPr>
        <w:pStyle w:val="Textoindependiente"/>
        <w:rPr>
          <w:rFonts w:ascii="Arial" w:hAnsi="Arial" w:cs="Arial"/>
          <w:iCs/>
          <w:sz w:val="20"/>
        </w:rPr>
      </w:pPr>
      <w:r>
        <w:rPr>
          <w:rFonts w:ascii="Arial" w:hAnsi="Arial" w:cs="Arial"/>
          <w:iCs/>
          <w:noProof/>
          <w:sz w:val="20"/>
        </w:rPr>
        <w:object w:dxaOrig="7339" w:dyaOrig="2151" w14:anchorId="336CC14A">
          <v:shape id="_x0000_i1033" type="#_x0000_t75" alt="" style="width:365.4pt;height:111.6pt" o:ole="">
            <v:imagedata r:id="rId24" o:title=""/>
          </v:shape>
          <o:OLEObject Type="Embed" ProgID="Excel.Sheet.12" ShapeID="_x0000_i1033" DrawAspect="Content" ObjectID="_1807083696" r:id="rId25"/>
        </w:object>
      </w:r>
    </w:p>
    <w:p w14:paraId="772F965E" w14:textId="77777777" w:rsidR="00BB52A6" w:rsidRDefault="00BB52A6" w:rsidP="00E05DBD">
      <w:pPr>
        <w:jc w:val="both"/>
        <w:rPr>
          <w:rFonts w:ascii="Arial" w:hAnsi="Arial" w:cs="Arial"/>
          <w:b/>
          <w:sz w:val="20"/>
          <w:szCs w:val="20"/>
        </w:rPr>
      </w:pPr>
    </w:p>
    <w:p w14:paraId="25C2A317" w14:textId="3D691B52" w:rsidR="00BB52A6" w:rsidRDefault="00BB52A6" w:rsidP="00BB52A6">
      <w:pPr>
        <w:pStyle w:val="Textoindependiente"/>
        <w:tabs>
          <w:tab w:val="right" w:pos="9072"/>
        </w:tabs>
        <w:jc w:val="left"/>
        <w:rPr>
          <w:rFonts w:ascii="Arial" w:hAnsi="Arial" w:cs="Arial"/>
          <w:b/>
          <w:sz w:val="20"/>
        </w:rPr>
      </w:pPr>
      <w:r>
        <w:rPr>
          <w:rFonts w:ascii="Arial" w:hAnsi="Arial" w:cs="Arial"/>
          <w:b/>
          <w:sz w:val="20"/>
        </w:rPr>
        <w:t>NOTA 14 – PRÉSTAMOS BANCARIOS</w:t>
      </w:r>
    </w:p>
    <w:p w14:paraId="36F7752F" w14:textId="77777777" w:rsidR="00BB52A6" w:rsidRDefault="00BB52A6" w:rsidP="00BB52A6">
      <w:pPr>
        <w:jc w:val="both"/>
        <w:rPr>
          <w:rFonts w:ascii="Arial" w:hAnsi="Arial" w:cs="Arial"/>
          <w:bCs/>
          <w:sz w:val="20"/>
          <w:szCs w:val="20"/>
          <w:lang w:val="es-EC"/>
        </w:rPr>
      </w:pPr>
      <w:bookmarkStart w:id="57" w:name="_MON_1551014143"/>
      <w:bookmarkEnd w:id="57"/>
    </w:p>
    <w:p w14:paraId="4E575F05" w14:textId="4EF30761" w:rsidR="00BB52A6" w:rsidRDefault="00BB52A6" w:rsidP="00BB52A6">
      <w:pPr>
        <w:jc w:val="both"/>
        <w:rPr>
          <w:rFonts w:ascii="Arial" w:hAnsi="Arial" w:cs="Arial"/>
          <w:sz w:val="20"/>
          <w:szCs w:val="20"/>
        </w:rPr>
      </w:pPr>
      <w:r>
        <w:rPr>
          <w:rFonts w:ascii="Arial" w:hAnsi="Arial" w:cs="Arial"/>
          <w:bCs/>
          <w:sz w:val="20"/>
          <w:szCs w:val="20"/>
          <w:lang w:val="es-EC"/>
        </w:rPr>
        <w:t>Los saldos al 31 de diciembre de 2024 corresponden a una operación con el Banco Internacional a 5 años plazo, cuyo vencimiento es en mayo 2025 y genera una tasa anual efectiva del 11,51</w:t>
      </w:r>
      <w:proofErr w:type="gramStart"/>
      <w:r>
        <w:rPr>
          <w:rFonts w:ascii="Arial" w:hAnsi="Arial" w:cs="Arial"/>
          <w:bCs/>
          <w:sz w:val="20"/>
          <w:szCs w:val="20"/>
          <w:lang w:val="es-EC"/>
        </w:rPr>
        <w:t>% ;</w:t>
      </w:r>
      <w:proofErr w:type="gramEnd"/>
      <w:r>
        <w:rPr>
          <w:rFonts w:ascii="Arial" w:hAnsi="Arial" w:cs="Arial"/>
          <w:bCs/>
          <w:sz w:val="20"/>
          <w:szCs w:val="20"/>
          <w:lang w:val="es-EC"/>
        </w:rPr>
        <w:t xml:space="preserve"> los saldos son como sigue:</w:t>
      </w:r>
    </w:p>
    <w:bookmarkStart w:id="58" w:name="_MON_1807006781"/>
    <w:bookmarkEnd w:id="58"/>
    <w:p w14:paraId="08E51F95" w14:textId="5DDB3B7A" w:rsidR="00BB52A6" w:rsidRDefault="00BB52A6" w:rsidP="00BB52A6">
      <w:pPr>
        <w:jc w:val="both"/>
        <w:rPr>
          <w:rFonts w:ascii="Arial" w:hAnsi="Arial" w:cs="Arial"/>
          <w:sz w:val="20"/>
          <w:szCs w:val="20"/>
        </w:rPr>
      </w:pPr>
      <w:r>
        <w:rPr>
          <w:rFonts w:ascii="Arial" w:hAnsi="Arial" w:cs="Arial"/>
          <w:sz w:val="20"/>
          <w:szCs w:val="20"/>
        </w:rPr>
        <w:object w:dxaOrig="9188" w:dyaOrig="1004" w14:anchorId="192E7170">
          <v:shape id="_x0000_i1034" type="#_x0000_t75" style="width:459.6pt;height:50.4pt" o:ole="">
            <v:imagedata r:id="rId26" o:title=""/>
          </v:shape>
          <o:OLEObject Type="Embed" ProgID="Excel.Sheet.12" ShapeID="_x0000_i1034" DrawAspect="Content" ObjectID="_1807083697" r:id="rId27"/>
        </w:object>
      </w:r>
    </w:p>
    <w:p w14:paraId="16873285" w14:textId="77777777" w:rsidR="00BB52A6" w:rsidRDefault="00BB52A6" w:rsidP="00E05DBD">
      <w:pPr>
        <w:jc w:val="both"/>
        <w:rPr>
          <w:rFonts w:ascii="Arial" w:hAnsi="Arial" w:cs="Arial"/>
          <w:b/>
          <w:sz w:val="20"/>
          <w:szCs w:val="20"/>
        </w:rPr>
      </w:pPr>
    </w:p>
    <w:p w14:paraId="0767BB1A" w14:textId="77777777" w:rsidR="00BB52A6" w:rsidRDefault="00BB52A6" w:rsidP="00E05DBD">
      <w:pPr>
        <w:jc w:val="both"/>
        <w:rPr>
          <w:rFonts w:ascii="Arial" w:hAnsi="Arial" w:cs="Arial"/>
          <w:b/>
          <w:sz w:val="20"/>
          <w:szCs w:val="20"/>
        </w:rPr>
      </w:pPr>
    </w:p>
    <w:p w14:paraId="009EB213" w14:textId="28681327" w:rsidR="00395DBA" w:rsidRPr="000D1A16" w:rsidRDefault="00D67B6D" w:rsidP="00E05DBD">
      <w:pPr>
        <w:jc w:val="both"/>
        <w:rPr>
          <w:rFonts w:ascii="Arial" w:hAnsi="Arial" w:cs="Arial"/>
          <w:sz w:val="20"/>
          <w:szCs w:val="20"/>
          <w:lang w:eastAsia="es-EC"/>
        </w:rPr>
      </w:pPr>
      <w:r>
        <w:rPr>
          <w:rFonts w:ascii="Arial" w:hAnsi="Arial" w:cs="Arial"/>
          <w:b/>
          <w:sz w:val="20"/>
          <w:szCs w:val="20"/>
        </w:rPr>
        <w:t>NOTA 1</w:t>
      </w:r>
      <w:r w:rsidR="00BB52A6">
        <w:rPr>
          <w:rFonts w:ascii="Arial" w:hAnsi="Arial" w:cs="Arial"/>
          <w:b/>
          <w:sz w:val="20"/>
          <w:szCs w:val="20"/>
        </w:rPr>
        <w:t>5</w:t>
      </w:r>
      <w:r w:rsidR="00395DBA" w:rsidRPr="009D2B08">
        <w:rPr>
          <w:rFonts w:ascii="Arial" w:hAnsi="Arial" w:cs="Arial"/>
          <w:b/>
          <w:sz w:val="20"/>
          <w:szCs w:val="20"/>
        </w:rPr>
        <w:t xml:space="preserve"> - PATRIMONIO</w:t>
      </w:r>
    </w:p>
    <w:p w14:paraId="632229DD" w14:textId="77777777" w:rsidR="00524557" w:rsidRPr="000D1A16" w:rsidRDefault="00524557" w:rsidP="008D7017">
      <w:pPr>
        <w:ind w:right="-6"/>
        <w:jc w:val="both"/>
        <w:rPr>
          <w:rFonts w:ascii="Arial" w:hAnsi="Arial" w:cs="Arial"/>
          <w:b/>
          <w:sz w:val="20"/>
          <w:szCs w:val="20"/>
          <w:u w:val="single"/>
        </w:rPr>
      </w:pPr>
    </w:p>
    <w:p w14:paraId="30ACEE83" w14:textId="77777777" w:rsidR="00395DBA" w:rsidRPr="000D1A16" w:rsidRDefault="00395DBA" w:rsidP="008D7017">
      <w:pPr>
        <w:ind w:right="-6"/>
        <w:jc w:val="both"/>
        <w:rPr>
          <w:rFonts w:ascii="Arial" w:hAnsi="Arial" w:cs="Arial"/>
          <w:b/>
          <w:sz w:val="20"/>
          <w:szCs w:val="20"/>
          <w:u w:val="single"/>
        </w:rPr>
      </w:pPr>
      <w:r w:rsidRPr="000D1A16">
        <w:rPr>
          <w:rFonts w:ascii="Arial" w:hAnsi="Arial" w:cs="Arial"/>
          <w:b/>
          <w:sz w:val="20"/>
          <w:szCs w:val="20"/>
          <w:u w:val="single"/>
        </w:rPr>
        <w:t>Capital Acciones</w:t>
      </w:r>
    </w:p>
    <w:p w14:paraId="7546D3C1" w14:textId="77777777" w:rsidR="00AB7165" w:rsidRPr="000D1A16" w:rsidRDefault="00AB7165" w:rsidP="008D7017">
      <w:pPr>
        <w:ind w:right="-6"/>
        <w:jc w:val="both"/>
        <w:rPr>
          <w:rFonts w:ascii="Arial" w:hAnsi="Arial" w:cs="Arial"/>
          <w:sz w:val="20"/>
          <w:szCs w:val="20"/>
        </w:rPr>
      </w:pPr>
    </w:p>
    <w:p w14:paraId="39368DD9" w14:textId="0B2236A5" w:rsidR="00395DBA" w:rsidRPr="000D1A16" w:rsidRDefault="002E6DAC" w:rsidP="008D7017">
      <w:pPr>
        <w:ind w:right="-6"/>
        <w:jc w:val="both"/>
        <w:rPr>
          <w:rFonts w:ascii="Arial" w:hAnsi="Arial" w:cs="Arial"/>
          <w:sz w:val="20"/>
          <w:szCs w:val="20"/>
        </w:rPr>
      </w:pPr>
      <w:r w:rsidRPr="000D1A16">
        <w:rPr>
          <w:rFonts w:ascii="Arial" w:hAnsi="Arial" w:cs="Arial"/>
          <w:sz w:val="20"/>
          <w:szCs w:val="20"/>
        </w:rPr>
        <w:t xml:space="preserve">Al </w:t>
      </w:r>
      <w:r w:rsidR="00A109AB" w:rsidRPr="000D1A16">
        <w:rPr>
          <w:rFonts w:ascii="Arial" w:hAnsi="Arial" w:cs="Arial"/>
          <w:sz w:val="20"/>
          <w:szCs w:val="20"/>
        </w:rPr>
        <w:t>31 de d</w:t>
      </w:r>
      <w:r w:rsidR="00D67B6D">
        <w:rPr>
          <w:rFonts w:ascii="Arial" w:hAnsi="Arial" w:cs="Arial"/>
          <w:sz w:val="20"/>
          <w:szCs w:val="20"/>
        </w:rPr>
        <w:t xml:space="preserve">iciembre del </w:t>
      </w:r>
      <w:r w:rsidR="00C03AB5">
        <w:rPr>
          <w:rFonts w:ascii="Arial" w:hAnsi="Arial" w:cs="Arial"/>
          <w:sz w:val="20"/>
          <w:szCs w:val="20"/>
        </w:rPr>
        <w:t>2024</w:t>
      </w:r>
      <w:r w:rsidR="0044237D">
        <w:rPr>
          <w:rFonts w:ascii="Arial" w:hAnsi="Arial" w:cs="Arial"/>
          <w:sz w:val="20"/>
          <w:szCs w:val="20"/>
        </w:rPr>
        <w:t xml:space="preserve"> y </w:t>
      </w:r>
      <w:r w:rsidR="00C03AB5">
        <w:rPr>
          <w:rFonts w:ascii="Arial" w:hAnsi="Arial" w:cs="Arial"/>
          <w:sz w:val="20"/>
          <w:szCs w:val="20"/>
        </w:rPr>
        <w:t>2023</w:t>
      </w:r>
      <w:r w:rsidR="00D67B6D">
        <w:rPr>
          <w:rFonts w:ascii="Arial" w:hAnsi="Arial" w:cs="Arial"/>
          <w:sz w:val="20"/>
          <w:szCs w:val="20"/>
        </w:rPr>
        <w:t xml:space="preserve"> </w:t>
      </w:r>
      <w:r w:rsidR="00395DBA" w:rsidRPr="000D1A16">
        <w:rPr>
          <w:rFonts w:ascii="Arial" w:hAnsi="Arial" w:cs="Arial"/>
          <w:sz w:val="20"/>
          <w:szCs w:val="20"/>
        </w:rPr>
        <w:t xml:space="preserve">las acciones ordinarias autorizadas, suscritas y pagadas son de </w:t>
      </w:r>
      <w:r w:rsidR="001B4BF5">
        <w:rPr>
          <w:rFonts w:ascii="Arial" w:hAnsi="Arial" w:cs="Arial"/>
          <w:sz w:val="20"/>
          <w:szCs w:val="20"/>
        </w:rPr>
        <w:t>5</w:t>
      </w:r>
      <w:r w:rsidR="005B668C">
        <w:rPr>
          <w:rFonts w:ascii="Arial" w:hAnsi="Arial" w:cs="Arial"/>
          <w:sz w:val="20"/>
          <w:szCs w:val="20"/>
        </w:rPr>
        <w:t>.</w:t>
      </w:r>
      <w:r w:rsidR="001B4BF5">
        <w:rPr>
          <w:rFonts w:ascii="Arial" w:hAnsi="Arial" w:cs="Arial"/>
          <w:sz w:val="20"/>
          <w:szCs w:val="20"/>
        </w:rPr>
        <w:t>1</w:t>
      </w:r>
      <w:r w:rsidR="008350D1">
        <w:rPr>
          <w:rFonts w:ascii="Arial" w:hAnsi="Arial" w:cs="Arial"/>
          <w:sz w:val="20"/>
          <w:szCs w:val="20"/>
        </w:rPr>
        <w:t>00</w:t>
      </w:r>
      <w:r w:rsidR="00395DBA" w:rsidRPr="000D1A16">
        <w:rPr>
          <w:rFonts w:ascii="Arial" w:hAnsi="Arial" w:cs="Arial"/>
          <w:sz w:val="20"/>
          <w:szCs w:val="20"/>
        </w:rPr>
        <w:t xml:space="preserve"> ac</w:t>
      </w:r>
      <w:r w:rsidR="00266704" w:rsidRPr="000D1A16">
        <w:rPr>
          <w:rFonts w:ascii="Arial" w:hAnsi="Arial" w:cs="Arial"/>
          <w:sz w:val="20"/>
          <w:szCs w:val="20"/>
        </w:rPr>
        <w:t>cio</w:t>
      </w:r>
      <w:r w:rsidR="007F4E70" w:rsidRPr="000D1A16">
        <w:rPr>
          <w:rFonts w:ascii="Arial" w:hAnsi="Arial" w:cs="Arial"/>
          <w:sz w:val="20"/>
          <w:szCs w:val="20"/>
        </w:rPr>
        <w:t>nes de US$ 1.00, cada una.</w:t>
      </w:r>
    </w:p>
    <w:p w14:paraId="7CEC85AF" w14:textId="77777777" w:rsidR="006B174C" w:rsidRPr="000D1A16" w:rsidRDefault="006B174C" w:rsidP="008D7017">
      <w:pPr>
        <w:ind w:right="-6"/>
        <w:jc w:val="both"/>
        <w:rPr>
          <w:rFonts w:ascii="Arial" w:hAnsi="Arial" w:cs="Arial"/>
          <w:sz w:val="20"/>
          <w:szCs w:val="20"/>
        </w:rPr>
      </w:pPr>
    </w:p>
    <w:p w14:paraId="31262B69" w14:textId="12EB208B" w:rsidR="00AA36A3" w:rsidRPr="00541F1F" w:rsidRDefault="00AA36A3" w:rsidP="00AA36A3">
      <w:pPr>
        <w:jc w:val="both"/>
        <w:rPr>
          <w:rFonts w:ascii="Arial" w:hAnsi="Arial" w:cs="Arial"/>
          <w:b/>
          <w:bCs/>
          <w:sz w:val="20"/>
          <w:szCs w:val="20"/>
          <w:u w:val="single"/>
        </w:rPr>
      </w:pPr>
      <w:r w:rsidRPr="00541F1F">
        <w:rPr>
          <w:rFonts w:ascii="Arial" w:hAnsi="Arial" w:cs="Arial"/>
          <w:b/>
          <w:bCs/>
          <w:sz w:val="20"/>
          <w:szCs w:val="20"/>
          <w:u w:val="single"/>
        </w:rPr>
        <w:t>Utilidades Disponibles</w:t>
      </w:r>
    </w:p>
    <w:p w14:paraId="205C1E82" w14:textId="77777777" w:rsidR="00AA36A3" w:rsidRPr="00541F1F" w:rsidRDefault="00AA36A3" w:rsidP="00AA36A3">
      <w:pPr>
        <w:jc w:val="both"/>
        <w:rPr>
          <w:rFonts w:ascii="Arial" w:hAnsi="Arial" w:cs="Arial"/>
          <w:bCs/>
          <w:sz w:val="20"/>
          <w:szCs w:val="20"/>
          <w:u w:val="single"/>
        </w:rPr>
      </w:pPr>
    </w:p>
    <w:p w14:paraId="090B2005" w14:textId="77777777" w:rsidR="00AA36A3" w:rsidRPr="000D1A16" w:rsidRDefault="00AA36A3" w:rsidP="00AA36A3">
      <w:pPr>
        <w:autoSpaceDE w:val="0"/>
        <w:autoSpaceDN w:val="0"/>
        <w:adjustRightInd w:val="0"/>
        <w:jc w:val="both"/>
        <w:rPr>
          <w:rFonts w:ascii="Arial" w:hAnsi="Arial" w:cs="Arial"/>
          <w:sz w:val="20"/>
          <w:szCs w:val="20"/>
        </w:rPr>
      </w:pPr>
      <w:r w:rsidRPr="00541F1F">
        <w:rPr>
          <w:rFonts w:ascii="Arial" w:hAnsi="Arial" w:cs="Arial"/>
          <w:sz w:val="20"/>
          <w:szCs w:val="20"/>
        </w:rPr>
        <w:t xml:space="preserve">El saldo de esta cuenta está a disposición de los accionistas de la Compañía y puede ser utilizado para la distribución de dividendos, conformado principalmente por las pérdidas y utilidades obtenidas de ejercicios anteriores. </w:t>
      </w:r>
    </w:p>
    <w:p w14:paraId="0AD81B8A" w14:textId="77777777" w:rsidR="006B174C" w:rsidRPr="000D1A16" w:rsidRDefault="006B174C" w:rsidP="008D7017">
      <w:pPr>
        <w:jc w:val="both"/>
        <w:rPr>
          <w:rFonts w:ascii="Arial" w:hAnsi="Arial" w:cs="Arial"/>
          <w:b/>
          <w:bCs/>
          <w:sz w:val="20"/>
          <w:szCs w:val="20"/>
          <w:u w:val="single"/>
        </w:rPr>
      </w:pPr>
    </w:p>
    <w:p w14:paraId="1FA527B2" w14:textId="716F7103" w:rsidR="00395DBA" w:rsidRPr="000D1A16" w:rsidRDefault="00AA36A3" w:rsidP="008D7017">
      <w:pPr>
        <w:rPr>
          <w:rFonts w:ascii="Arial" w:hAnsi="Arial" w:cs="Arial"/>
          <w:b/>
          <w:bCs/>
          <w:sz w:val="20"/>
          <w:szCs w:val="20"/>
        </w:rPr>
      </w:pPr>
      <w:r>
        <w:rPr>
          <w:rFonts w:ascii="Arial" w:hAnsi="Arial" w:cs="Arial"/>
          <w:b/>
          <w:bCs/>
          <w:sz w:val="20"/>
          <w:szCs w:val="20"/>
        </w:rPr>
        <w:t>NOTA 1</w:t>
      </w:r>
      <w:r w:rsidR="00BB52A6">
        <w:rPr>
          <w:rFonts w:ascii="Arial" w:hAnsi="Arial" w:cs="Arial"/>
          <w:b/>
          <w:bCs/>
          <w:sz w:val="20"/>
          <w:szCs w:val="20"/>
        </w:rPr>
        <w:t>6</w:t>
      </w:r>
      <w:r w:rsidR="00395DBA" w:rsidRPr="009D2B08">
        <w:rPr>
          <w:rFonts w:ascii="Arial" w:hAnsi="Arial" w:cs="Arial"/>
          <w:b/>
          <w:bCs/>
          <w:sz w:val="20"/>
          <w:szCs w:val="20"/>
        </w:rPr>
        <w:t xml:space="preserve">– INGRESOS </w:t>
      </w:r>
      <w:r w:rsidR="00E224D9" w:rsidRPr="009D2B08">
        <w:rPr>
          <w:rFonts w:ascii="Arial" w:hAnsi="Arial" w:cs="Arial"/>
          <w:b/>
          <w:bCs/>
          <w:sz w:val="20"/>
          <w:szCs w:val="20"/>
        </w:rPr>
        <w:t>POR VENTAS</w:t>
      </w:r>
      <w:r w:rsidR="00CF7127">
        <w:rPr>
          <w:rFonts w:ascii="Arial" w:hAnsi="Arial" w:cs="Arial"/>
          <w:b/>
          <w:bCs/>
          <w:sz w:val="20"/>
          <w:szCs w:val="20"/>
        </w:rPr>
        <w:t xml:space="preserve"> Y COSTO DE VENTAS</w:t>
      </w:r>
    </w:p>
    <w:p w14:paraId="1DF091BC" w14:textId="77777777" w:rsidR="000075DA" w:rsidRPr="000D1A16" w:rsidRDefault="000075DA" w:rsidP="008D7017">
      <w:pPr>
        <w:pStyle w:val="Cuerpodeltexto20"/>
        <w:shd w:val="clear" w:color="auto" w:fill="auto"/>
        <w:spacing w:line="240" w:lineRule="auto"/>
        <w:ind w:firstLine="0"/>
        <w:jc w:val="both"/>
        <w:rPr>
          <w:rFonts w:eastAsia="Times New Roman"/>
          <w:sz w:val="20"/>
          <w:szCs w:val="20"/>
          <w:lang w:val="es-ES" w:eastAsia="es-ES"/>
        </w:rPr>
      </w:pPr>
    </w:p>
    <w:p w14:paraId="3113AA5F" w14:textId="02FB4777" w:rsidR="00E224D9" w:rsidRDefault="003D5321" w:rsidP="00F40669">
      <w:pPr>
        <w:jc w:val="both"/>
        <w:rPr>
          <w:rFonts w:ascii="Arial" w:hAnsi="Arial" w:cs="Arial"/>
          <w:sz w:val="20"/>
          <w:szCs w:val="20"/>
        </w:rPr>
      </w:pPr>
      <w:r w:rsidRPr="000D1A16">
        <w:rPr>
          <w:rFonts w:ascii="Arial" w:hAnsi="Arial" w:cs="Arial"/>
          <w:sz w:val="20"/>
          <w:szCs w:val="20"/>
        </w:rPr>
        <w:t>En</w:t>
      </w:r>
      <w:r w:rsidR="00387A0F" w:rsidRPr="000D1A16">
        <w:rPr>
          <w:rFonts w:ascii="Arial" w:hAnsi="Arial" w:cs="Arial"/>
          <w:sz w:val="20"/>
          <w:szCs w:val="20"/>
        </w:rPr>
        <w:t xml:space="preserve"> el año termi</w:t>
      </w:r>
      <w:r w:rsidR="002E6DAC" w:rsidRPr="000D1A16">
        <w:rPr>
          <w:rFonts w:ascii="Arial" w:hAnsi="Arial" w:cs="Arial"/>
          <w:sz w:val="20"/>
          <w:szCs w:val="20"/>
        </w:rPr>
        <w:t xml:space="preserve">nado el </w:t>
      </w:r>
      <w:r w:rsidR="00AA36A3">
        <w:rPr>
          <w:rFonts w:ascii="Arial" w:hAnsi="Arial" w:cs="Arial"/>
          <w:sz w:val="20"/>
          <w:szCs w:val="20"/>
        </w:rPr>
        <w:t xml:space="preserve">31 de diciembre del </w:t>
      </w:r>
      <w:r w:rsidR="00C03AB5">
        <w:rPr>
          <w:rFonts w:ascii="Arial" w:hAnsi="Arial" w:cs="Arial"/>
          <w:sz w:val="20"/>
          <w:szCs w:val="20"/>
        </w:rPr>
        <w:t>2024</w:t>
      </w:r>
      <w:r w:rsidR="00397AEF">
        <w:rPr>
          <w:rFonts w:ascii="Arial" w:hAnsi="Arial" w:cs="Arial"/>
          <w:sz w:val="20"/>
          <w:szCs w:val="20"/>
        </w:rPr>
        <w:t xml:space="preserve"> y </w:t>
      </w:r>
      <w:r w:rsidR="00C03AB5">
        <w:rPr>
          <w:rFonts w:ascii="Arial" w:hAnsi="Arial" w:cs="Arial"/>
          <w:sz w:val="20"/>
          <w:szCs w:val="20"/>
        </w:rPr>
        <w:t>2023</w:t>
      </w:r>
      <w:r w:rsidR="00387A0F" w:rsidRPr="000D1A16">
        <w:rPr>
          <w:rFonts w:ascii="Arial" w:hAnsi="Arial" w:cs="Arial"/>
          <w:sz w:val="20"/>
          <w:szCs w:val="20"/>
        </w:rPr>
        <w:t xml:space="preserve">, los </w:t>
      </w:r>
      <w:r w:rsidR="00E224D9">
        <w:rPr>
          <w:rFonts w:ascii="Arial" w:hAnsi="Arial" w:cs="Arial"/>
          <w:sz w:val="20"/>
          <w:szCs w:val="20"/>
        </w:rPr>
        <w:t>ingresos de venta</w:t>
      </w:r>
      <w:r w:rsidR="005344A6" w:rsidRPr="000D1A16">
        <w:rPr>
          <w:rFonts w:ascii="Arial" w:hAnsi="Arial" w:cs="Arial"/>
          <w:sz w:val="20"/>
          <w:szCs w:val="20"/>
        </w:rPr>
        <w:t xml:space="preserve">s </w:t>
      </w:r>
      <w:r w:rsidR="00E224D9">
        <w:rPr>
          <w:rFonts w:ascii="Arial" w:hAnsi="Arial" w:cs="Arial"/>
          <w:sz w:val="20"/>
          <w:szCs w:val="20"/>
        </w:rPr>
        <w:t>y costo de ventas</w:t>
      </w:r>
      <w:r w:rsidR="005344A6" w:rsidRPr="000D1A16">
        <w:rPr>
          <w:rFonts w:ascii="Arial" w:hAnsi="Arial" w:cs="Arial"/>
          <w:sz w:val="20"/>
          <w:szCs w:val="20"/>
        </w:rPr>
        <w:t xml:space="preserve"> son como sigue:</w:t>
      </w:r>
      <w:bookmarkStart w:id="59" w:name="_MON_1552534156"/>
      <w:bookmarkEnd w:id="59"/>
    </w:p>
    <w:p w14:paraId="021BCFB3" w14:textId="7CF157C0" w:rsidR="00071971" w:rsidRDefault="00071971" w:rsidP="008D7017">
      <w:pPr>
        <w:rPr>
          <w:rFonts w:ascii="Arial" w:hAnsi="Arial" w:cs="Arial"/>
          <w:b/>
          <w:bCs/>
          <w:sz w:val="20"/>
          <w:szCs w:val="20"/>
        </w:rPr>
      </w:pPr>
      <w:bookmarkStart w:id="60" w:name="_MON_1552476312"/>
      <w:bookmarkEnd w:id="60"/>
      <w:r>
        <w:rPr>
          <w:rFonts w:ascii="Arial" w:hAnsi="Arial" w:cs="Arial"/>
          <w:noProof/>
          <w:sz w:val="20"/>
          <w:szCs w:val="20"/>
        </w:rPr>
        <w:object w:dxaOrig="1440" w:dyaOrig="1440" w14:anchorId="7450345D">
          <v:shape id="_x0000_s1026" type="#_x0000_t75" alt="" style="position:absolute;margin-left:-6pt;margin-top:4.4pt;width:311.4pt;height:121.15pt;z-index:251665408;mso-wrap-edited:f;mso-width-percent:0;mso-height-percent:0;mso-position-horizontal-relative:text;mso-position-vertical-relative:text;mso-width-percent:0;mso-height-percent:0">
            <v:imagedata r:id="rId28" o:title=""/>
            <w10:wrap type="square" side="right"/>
          </v:shape>
          <o:OLEObject Type="Embed" ProgID="Excel.Sheet.12" ShapeID="_x0000_s1026" DrawAspect="Content" ObjectID="_1807083706" r:id="rId29"/>
        </w:object>
      </w:r>
    </w:p>
    <w:p w14:paraId="79781F78" w14:textId="77777777" w:rsidR="00071971" w:rsidRDefault="00071971" w:rsidP="008D7017">
      <w:pPr>
        <w:rPr>
          <w:rFonts w:ascii="Arial" w:hAnsi="Arial" w:cs="Arial"/>
          <w:b/>
          <w:bCs/>
          <w:sz w:val="20"/>
          <w:szCs w:val="20"/>
        </w:rPr>
      </w:pPr>
    </w:p>
    <w:p w14:paraId="75BFC301" w14:textId="77777777" w:rsidR="00071971" w:rsidRDefault="00071971" w:rsidP="008D7017">
      <w:pPr>
        <w:rPr>
          <w:rFonts w:ascii="Arial" w:hAnsi="Arial" w:cs="Arial"/>
          <w:b/>
          <w:bCs/>
          <w:sz w:val="20"/>
          <w:szCs w:val="20"/>
        </w:rPr>
      </w:pPr>
    </w:p>
    <w:p w14:paraId="648D8702" w14:textId="77777777" w:rsidR="00071971" w:rsidRDefault="00071971" w:rsidP="008D7017">
      <w:pPr>
        <w:rPr>
          <w:rFonts w:ascii="Arial" w:hAnsi="Arial" w:cs="Arial"/>
          <w:b/>
          <w:bCs/>
          <w:sz w:val="20"/>
          <w:szCs w:val="20"/>
        </w:rPr>
      </w:pPr>
    </w:p>
    <w:p w14:paraId="0FD245C0" w14:textId="77777777" w:rsidR="00071971" w:rsidRDefault="00071971" w:rsidP="008D7017">
      <w:pPr>
        <w:rPr>
          <w:rFonts w:ascii="Arial" w:hAnsi="Arial" w:cs="Arial"/>
          <w:b/>
          <w:bCs/>
          <w:sz w:val="20"/>
          <w:szCs w:val="20"/>
        </w:rPr>
      </w:pPr>
    </w:p>
    <w:p w14:paraId="45E07C56" w14:textId="77777777" w:rsidR="00071971" w:rsidRDefault="00071971" w:rsidP="008D7017">
      <w:pPr>
        <w:rPr>
          <w:rFonts w:ascii="Arial" w:hAnsi="Arial" w:cs="Arial"/>
          <w:b/>
          <w:bCs/>
          <w:sz w:val="20"/>
          <w:szCs w:val="20"/>
        </w:rPr>
      </w:pPr>
    </w:p>
    <w:p w14:paraId="624D9BE9" w14:textId="77777777" w:rsidR="00071971" w:rsidRDefault="00071971" w:rsidP="008D7017">
      <w:pPr>
        <w:rPr>
          <w:rFonts w:ascii="Arial" w:hAnsi="Arial" w:cs="Arial"/>
          <w:b/>
          <w:bCs/>
          <w:sz w:val="20"/>
          <w:szCs w:val="20"/>
        </w:rPr>
      </w:pPr>
    </w:p>
    <w:p w14:paraId="35C3819F" w14:textId="77777777" w:rsidR="00071971" w:rsidRDefault="00071971" w:rsidP="008D7017">
      <w:pPr>
        <w:rPr>
          <w:rFonts w:ascii="Arial" w:hAnsi="Arial" w:cs="Arial"/>
          <w:b/>
          <w:bCs/>
          <w:sz w:val="20"/>
          <w:szCs w:val="20"/>
        </w:rPr>
      </w:pPr>
    </w:p>
    <w:p w14:paraId="3130522B" w14:textId="77777777" w:rsidR="00071971" w:rsidRDefault="00071971" w:rsidP="008D7017">
      <w:pPr>
        <w:rPr>
          <w:rFonts w:ascii="Arial" w:hAnsi="Arial" w:cs="Arial"/>
          <w:b/>
          <w:bCs/>
          <w:sz w:val="20"/>
          <w:szCs w:val="20"/>
        </w:rPr>
      </w:pPr>
    </w:p>
    <w:p w14:paraId="43E32DE6" w14:textId="77777777" w:rsidR="00071971" w:rsidRDefault="00071971" w:rsidP="008D7017">
      <w:pPr>
        <w:rPr>
          <w:rFonts w:ascii="Arial" w:hAnsi="Arial" w:cs="Arial"/>
          <w:b/>
          <w:bCs/>
          <w:sz w:val="20"/>
          <w:szCs w:val="20"/>
        </w:rPr>
      </w:pPr>
    </w:p>
    <w:p w14:paraId="18F5615C" w14:textId="77777777" w:rsidR="00071971" w:rsidRDefault="00071971" w:rsidP="008D7017">
      <w:pPr>
        <w:rPr>
          <w:rFonts w:ascii="Arial" w:hAnsi="Arial" w:cs="Arial"/>
          <w:b/>
          <w:bCs/>
          <w:sz w:val="20"/>
          <w:szCs w:val="20"/>
        </w:rPr>
      </w:pPr>
    </w:p>
    <w:p w14:paraId="032EB636" w14:textId="77777777" w:rsidR="00071971" w:rsidRDefault="00071971" w:rsidP="008D7017">
      <w:pPr>
        <w:rPr>
          <w:rFonts w:ascii="Arial" w:hAnsi="Arial" w:cs="Arial"/>
          <w:b/>
          <w:bCs/>
          <w:sz w:val="20"/>
          <w:szCs w:val="20"/>
        </w:rPr>
      </w:pPr>
    </w:p>
    <w:p w14:paraId="4FADF9AA" w14:textId="77777777" w:rsidR="00071971" w:rsidRDefault="00071971" w:rsidP="008D7017">
      <w:pPr>
        <w:rPr>
          <w:rFonts w:ascii="Arial" w:hAnsi="Arial" w:cs="Arial"/>
          <w:b/>
          <w:bCs/>
          <w:sz w:val="20"/>
          <w:szCs w:val="20"/>
        </w:rPr>
      </w:pPr>
    </w:p>
    <w:p w14:paraId="72EBA36E" w14:textId="77777777" w:rsidR="00071971" w:rsidRDefault="00071971" w:rsidP="008D7017">
      <w:pPr>
        <w:rPr>
          <w:rFonts w:ascii="Arial" w:hAnsi="Arial" w:cs="Arial"/>
          <w:b/>
          <w:bCs/>
          <w:sz w:val="20"/>
          <w:szCs w:val="20"/>
        </w:rPr>
      </w:pPr>
    </w:p>
    <w:p w14:paraId="202176E8" w14:textId="77777777" w:rsidR="00071971" w:rsidRDefault="00071971" w:rsidP="008D7017">
      <w:pPr>
        <w:rPr>
          <w:rFonts w:ascii="Arial" w:hAnsi="Arial" w:cs="Arial"/>
          <w:b/>
          <w:bCs/>
          <w:sz w:val="20"/>
          <w:szCs w:val="20"/>
        </w:rPr>
      </w:pPr>
    </w:p>
    <w:p w14:paraId="597BA525" w14:textId="007F46AA" w:rsidR="00395DBA" w:rsidRPr="000D1A16" w:rsidRDefault="009D2B08" w:rsidP="008D7017">
      <w:pPr>
        <w:rPr>
          <w:rFonts w:ascii="Arial" w:hAnsi="Arial" w:cs="Arial"/>
          <w:sz w:val="20"/>
          <w:szCs w:val="20"/>
        </w:rPr>
      </w:pPr>
      <w:r>
        <w:rPr>
          <w:rFonts w:ascii="Arial" w:hAnsi="Arial" w:cs="Arial"/>
          <w:b/>
          <w:bCs/>
          <w:sz w:val="20"/>
          <w:szCs w:val="20"/>
        </w:rPr>
        <w:lastRenderedPageBreak/>
        <w:t>N</w:t>
      </w:r>
      <w:r w:rsidR="00397AEF">
        <w:rPr>
          <w:rFonts w:ascii="Arial" w:hAnsi="Arial" w:cs="Arial"/>
          <w:b/>
          <w:bCs/>
          <w:sz w:val="20"/>
          <w:szCs w:val="20"/>
        </w:rPr>
        <w:t>OTA 1</w:t>
      </w:r>
      <w:r w:rsidR="001E4BF7">
        <w:rPr>
          <w:rFonts w:ascii="Arial" w:hAnsi="Arial" w:cs="Arial"/>
          <w:b/>
          <w:bCs/>
          <w:sz w:val="20"/>
          <w:szCs w:val="20"/>
        </w:rPr>
        <w:t>7</w:t>
      </w:r>
      <w:r w:rsidR="00395DBA" w:rsidRPr="009D2B08">
        <w:rPr>
          <w:rFonts w:ascii="Arial" w:hAnsi="Arial" w:cs="Arial"/>
          <w:b/>
          <w:bCs/>
          <w:sz w:val="20"/>
          <w:szCs w:val="20"/>
        </w:rPr>
        <w:t xml:space="preserve"> – </w:t>
      </w:r>
      <w:r w:rsidR="00071971">
        <w:rPr>
          <w:rFonts w:ascii="Arial" w:hAnsi="Arial" w:cs="Arial"/>
          <w:b/>
          <w:bCs/>
          <w:sz w:val="20"/>
          <w:szCs w:val="20"/>
        </w:rPr>
        <w:t xml:space="preserve">COSTOS DE OPERACIÓN Y </w:t>
      </w:r>
      <w:r w:rsidR="00D808CE" w:rsidRPr="009D2B08">
        <w:rPr>
          <w:rFonts w:ascii="Arial" w:hAnsi="Arial" w:cs="Arial"/>
          <w:b/>
          <w:bCs/>
          <w:sz w:val="20"/>
          <w:szCs w:val="20"/>
        </w:rPr>
        <w:t>GASTOS DE ADMINISTRACIÓN Y VENTAS</w:t>
      </w:r>
    </w:p>
    <w:p w14:paraId="777B6B8F" w14:textId="77777777" w:rsidR="00395DBA" w:rsidRPr="000D1A16" w:rsidRDefault="00395DBA" w:rsidP="008D7017">
      <w:pPr>
        <w:rPr>
          <w:rFonts w:ascii="Arial" w:hAnsi="Arial" w:cs="Arial"/>
          <w:bCs/>
          <w:sz w:val="20"/>
          <w:szCs w:val="20"/>
        </w:rPr>
      </w:pPr>
    </w:p>
    <w:p w14:paraId="54DA3519" w14:textId="38409BAA" w:rsidR="00395DBA" w:rsidRPr="000D1A16" w:rsidRDefault="00395DBA" w:rsidP="008D7017">
      <w:pPr>
        <w:rPr>
          <w:rFonts w:ascii="Arial" w:hAnsi="Arial" w:cs="Arial"/>
          <w:sz w:val="20"/>
          <w:szCs w:val="20"/>
        </w:rPr>
      </w:pPr>
      <w:r w:rsidRPr="000D1A16">
        <w:rPr>
          <w:rFonts w:ascii="Arial" w:hAnsi="Arial" w:cs="Arial"/>
          <w:bCs/>
          <w:sz w:val="20"/>
          <w:szCs w:val="20"/>
        </w:rPr>
        <w:t xml:space="preserve">Un detalle de los </w:t>
      </w:r>
      <w:r w:rsidR="00C77B18">
        <w:rPr>
          <w:rFonts w:ascii="Arial" w:hAnsi="Arial" w:cs="Arial"/>
          <w:bCs/>
          <w:sz w:val="20"/>
          <w:szCs w:val="20"/>
        </w:rPr>
        <w:t>costos de operación</w:t>
      </w:r>
      <w:r w:rsidR="003D5321" w:rsidRPr="000D1A16">
        <w:rPr>
          <w:rFonts w:ascii="Arial" w:hAnsi="Arial" w:cs="Arial"/>
          <w:bCs/>
          <w:sz w:val="20"/>
          <w:szCs w:val="20"/>
        </w:rPr>
        <w:t xml:space="preserve"> </w:t>
      </w:r>
      <w:r w:rsidR="00071971">
        <w:rPr>
          <w:rFonts w:ascii="Arial" w:hAnsi="Arial" w:cs="Arial"/>
          <w:bCs/>
          <w:sz w:val="20"/>
          <w:szCs w:val="20"/>
        </w:rPr>
        <w:t xml:space="preserve">y gastos de administración y ventas </w:t>
      </w:r>
      <w:r w:rsidRPr="000D1A16">
        <w:rPr>
          <w:rFonts w:ascii="Arial" w:hAnsi="Arial" w:cs="Arial"/>
          <w:bCs/>
          <w:sz w:val="20"/>
          <w:szCs w:val="20"/>
        </w:rPr>
        <w:t>de los años termin</w:t>
      </w:r>
      <w:r w:rsidR="00E05DBD" w:rsidRPr="000D1A16">
        <w:rPr>
          <w:rFonts w:ascii="Arial" w:hAnsi="Arial" w:cs="Arial"/>
          <w:bCs/>
          <w:sz w:val="20"/>
          <w:szCs w:val="20"/>
        </w:rPr>
        <w:t xml:space="preserve">ados el </w:t>
      </w:r>
      <w:r w:rsidR="00397AEF">
        <w:rPr>
          <w:rFonts w:ascii="Arial" w:hAnsi="Arial" w:cs="Arial"/>
          <w:bCs/>
          <w:sz w:val="20"/>
          <w:szCs w:val="20"/>
        </w:rPr>
        <w:t xml:space="preserve">31 de diciembre del </w:t>
      </w:r>
      <w:r w:rsidR="00C03AB5">
        <w:rPr>
          <w:rFonts w:ascii="Arial" w:hAnsi="Arial" w:cs="Arial"/>
          <w:bCs/>
          <w:sz w:val="20"/>
          <w:szCs w:val="20"/>
        </w:rPr>
        <w:t>2024</w:t>
      </w:r>
      <w:r w:rsidR="00397AEF">
        <w:rPr>
          <w:rFonts w:ascii="Arial" w:hAnsi="Arial" w:cs="Arial"/>
          <w:bCs/>
          <w:sz w:val="20"/>
          <w:szCs w:val="20"/>
        </w:rPr>
        <w:t xml:space="preserve"> y </w:t>
      </w:r>
      <w:r w:rsidR="00C03AB5">
        <w:rPr>
          <w:rFonts w:ascii="Arial" w:hAnsi="Arial" w:cs="Arial"/>
          <w:bCs/>
          <w:sz w:val="20"/>
          <w:szCs w:val="20"/>
        </w:rPr>
        <w:t>2023</w:t>
      </w:r>
      <w:r w:rsidRPr="000D1A16">
        <w:rPr>
          <w:rFonts w:ascii="Arial" w:hAnsi="Arial" w:cs="Arial"/>
          <w:bCs/>
          <w:sz w:val="20"/>
          <w:szCs w:val="20"/>
        </w:rPr>
        <w:t xml:space="preserve"> </w:t>
      </w:r>
      <w:r w:rsidRPr="000D1A16">
        <w:rPr>
          <w:rFonts w:ascii="Arial" w:hAnsi="Arial" w:cs="Arial"/>
          <w:sz w:val="20"/>
          <w:szCs w:val="20"/>
        </w:rPr>
        <w:t>es como sigue:</w:t>
      </w:r>
    </w:p>
    <w:bookmarkStart w:id="61" w:name="_MON_1457287389"/>
    <w:bookmarkStart w:id="62" w:name="_MON_1551950587"/>
    <w:bookmarkStart w:id="63" w:name="_MON_1424276521"/>
    <w:bookmarkEnd w:id="61"/>
    <w:bookmarkEnd w:id="62"/>
    <w:bookmarkEnd w:id="63"/>
    <w:bookmarkStart w:id="64" w:name="_MON_1617027208"/>
    <w:bookmarkEnd w:id="64"/>
    <w:p w14:paraId="5233EC81" w14:textId="19CBD603" w:rsidR="00C83B0A" w:rsidRDefault="00071971" w:rsidP="00397AEF">
      <w:pPr>
        <w:rPr>
          <w:rFonts w:ascii="Arial" w:hAnsi="Arial" w:cs="Arial"/>
          <w:b/>
          <w:sz w:val="20"/>
          <w:szCs w:val="20"/>
        </w:rPr>
      </w:pPr>
      <w:r>
        <w:rPr>
          <w:rFonts w:ascii="Arial" w:hAnsi="Arial" w:cs="Arial"/>
          <w:b/>
          <w:noProof/>
          <w:sz w:val="20"/>
          <w:szCs w:val="20"/>
        </w:rPr>
        <w:object w:dxaOrig="8315" w:dyaOrig="5557" w14:anchorId="550C4AED">
          <v:shape id="_x0000_i1066" type="#_x0000_t75" alt="" style="width:444pt;height:267pt" o:ole="">
            <v:imagedata r:id="rId30" o:title=""/>
          </v:shape>
          <o:OLEObject Type="Embed" ProgID="Excel.Sheet.12" ShapeID="_x0000_i1066" DrawAspect="Content" ObjectID="_1807083698" r:id="rId31"/>
        </w:object>
      </w:r>
    </w:p>
    <w:p w14:paraId="2D04E456" w14:textId="77777777" w:rsidR="00397AEF" w:rsidRDefault="00397AEF" w:rsidP="00D808CE">
      <w:pPr>
        <w:rPr>
          <w:rFonts w:ascii="Arial" w:hAnsi="Arial" w:cs="Arial"/>
          <w:b/>
          <w:bCs/>
          <w:sz w:val="20"/>
          <w:szCs w:val="20"/>
        </w:rPr>
      </w:pPr>
    </w:p>
    <w:p w14:paraId="31E5F2D0" w14:textId="1F06A149" w:rsidR="00395DBA" w:rsidRPr="000D1A16" w:rsidRDefault="00020536" w:rsidP="00AD2F70">
      <w:pPr>
        <w:rPr>
          <w:rFonts w:ascii="Arial" w:hAnsi="Arial" w:cs="Arial"/>
          <w:b/>
          <w:sz w:val="20"/>
          <w:szCs w:val="20"/>
        </w:rPr>
      </w:pPr>
      <w:r w:rsidRPr="00071971">
        <w:rPr>
          <w:rFonts w:ascii="Arial" w:hAnsi="Arial" w:cs="Arial"/>
          <w:b/>
          <w:bCs/>
          <w:sz w:val="20"/>
          <w:szCs w:val="20"/>
        </w:rPr>
        <w:t>N</w:t>
      </w:r>
      <w:r w:rsidR="00397AEF" w:rsidRPr="00071971">
        <w:rPr>
          <w:rFonts w:ascii="Arial" w:hAnsi="Arial" w:cs="Arial"/>
          <w:b/>
          <w:bCs/>
          <w:sz w:val="20"/>
          <w:szCs w:val="20"/>
        </w:rPr>
        <w:t>OTA 1</w:t>
      </w:r>
      <w:r w:rsidR="006A6894" w:rsidRPr="00071971">
        <w:rPr>
          <w:rFonts w:ascii="Arial" w:hAnsi="Arial" w:cs="Arial"/>
          <w:b/>
          <w:bCs/>
          <w:sz w:val="20"/>
          <w:szCs w:val="20"/>
        </w:rPr>
        <w:t>8</w:t>
      </w:r>
      <w:r w:rsidR="00395DBA" w:rsidRPr="00071971">
        <w:rPr>
          <w:rFonts w:ascii="Arial" w:hAnsi="Arial" w:cs="Arial"/>
          <w:b/>
          <w:bCs/>
          <w:sz w:val="20"/>
          <w:szCs w:val="20"/>
        </w:rPr>
        <w:t xml:space="preserve"> – IMPUESTOS </w:t>
      </w:r>
      <w:r w:rsidR="008C58AE" w:rsidRPr="00071971">
        <w:rPr>
          <w:rFonts w:ascii="Arial" w:hAnsi="Arial" w:cs="Arial"/>
          <w:b/>
          <w:bCs/>
          <w:sz w:val="20"/>
          <w:szCs w:val="20"/>
        </w:rPr>
        <w:t xml:space="preserve">CORRIENTES POR </w:t>
      </w:r>
      <w:r w:rsidR="00F30D06" w:rsidRPr="00071971">
        <w:rPr>
          <w:rFonts w:ascii="Arial" w:hAnsi="Arial" w:cs="Arial"/>
          <w:b/>
          <w:bCs/>
          <w:sz w:val="20"/>
          <w:szCs w:val="20"/>
        </w:rPr>
        <w:t>RECUPERAR</w:t>
      </w:r>
    </w:p>
    <w:p w14:paraId="5DA0EA28" w14:textId="77777777" w:rsidR="00395DBA" w:rsidRPr="000D1A16" w:rsidRDefault="00395DBA" w:rsidP="008D7017">
      <w:pPr>
        <w:rPr>
          <w:rFonts w:ascii="Arial" w:hAnsi="Arial" w:cs="Arial"/>
          <w:sz w:val="20"/>
          <w:szCs w:val="20"/>
          <w:lang w:eastAsia="x-none"/>
        </w:rPr>
      </w:pPr>
    </w:p>
    <w:p w14:paraId="0143DD26" w14:textId="12BD17BC" w:rsidR="00EB1F00" w:rsidRPr="000D1A16" w:rsidRDefault="00EB1F00" w:rsidP="008D7017">
      <w:pPr>
        <w:rPr>
          <w:rFonts w:ascii="Arial" w:hAnsi="Arial" w:cs="Arial"/>
          <w:sz w:val="20"/>
          <w:szCs w:val="20"/>
          <w:lang w:eastAsia="x-none"/>
        </w:rPr>
      </w:pPr>
      <w:r w:rsidRPr="000D1A16">
        <w:rPr>
          <w:rFonts w:ascii="Arial" w:hAnsi="Arial" w:cs="Arial"/>
          <w:sz w:val="20"/>
          <w:szCs w:val="20"/>
          <w:lang w:eastAsia="x-none"/>
        </w:rPr>
        <w:t>Los sa</w:t>
      </w:r>
      <w:r w:rsidR="001E7BBD">
        <w:rPr>
          <w:rFonts w:ascii="Arial" w:hAnsi="Arial" w:cs="Arial"/>
          <w:sz w:val="20"/>
          <w:szCs w:val="20"/>
          <w:lang w:eastAsia="x-none"/>
        </w:rPr>
        <w:t xml:space="preserve">ldos al 31 de diciembre del </w:t>
      </w:r>
      <w:r w:rsidR="00C03AB5">
        <w:rPr>
          <w:rFonts w:ascii="Arial" w:hAnsi="Arial" w:cs="Arial"/>
          <w:sz w:val="20"/>
          <w:szCs w:val="20"/>
          <w:lang w:eastAsia="x-none"/>
        </w:rPr>
        <w:t>2024</w:t>
      </w:r>
      <w:r w:rsidR="001E7BBD">
        <w:rPr>
          <w:rFonts w:ascii="Arial" w:hAnsi="Arial" w:cs="Arial"/>
          <w:sz w:val="20"/>
          <w:szCs w:val="20"/>
          <w:lang w:eastAsia="x-none"/>
        </w:rPr>
        <w:t xml:space="preserve"> y </w:t>
      </w:r>
      <w:r w:rsidR="00C03AB5">
        <w:rPr>
          <w:rFonts w:ascii="Arial" w:hAnsi="Arial" w:cs="Arial"/>
          <w:sz w:val="20"/>
          <w:szCs w:val="20"/>
          <w:lang w:eastAsia="x-none"/>
        </w:rPr>
        <w:t>2023</w:t>
      </w:r>
      <w:r w:rsidRPr="000D1A16">
        <w:rPr>
          <w:rFonts w:ascii="Arial" w:hAnsi="Arial" w:cs="Arial"/>
          <w:sz w:val="20"/>
          <w:szCs w:val="20"/>
          <w:lang w:eastAsia="x-none"/>
        </w:rPr>
        <w:t xml:space="preserve"> de los</w:t>
      </w:r>
      <w:r w:rsidR="00541F1F">
        <w:rPr>
          <w:rFonts w:ascii="Arial" w:hAnsi="Arial" w:cs="Arial"/>
          <w:sz w:val="20"/>
          <w:szCs w:val="20"/>
          <w:lang w:eastAsia="x-none"/>
        </w:rPr>
        <w:t xml:space="preserve"> impuestos corrientes por recuperar</w:t>
      </w:r>
      <w:r w:rsidRPr="000D1A16">
        <w:rPr>
          <w:rFonts w:ascii="Arial" w:hAnsi="Arial" w:cs="Arial"/>
          <w:sz w:val="20"/>
          <w:szCs w:val="20"/>
          <w:lang w:eastAsia="x-none"/>
        </w:rPr>
        <w:t xml:space="preserve"> son como sigue:</w:t>
      </w:r>
    </w:p>
    <w:p w14:paraId="23879B67" w14:textId="4F1D6DF4" w:rsidR="00E44907" w:rsidRDefault="00E44907" w:rsidP="00EB1F00">
      <w:pPr>
        <w:pStyle w:val="Textoindependiente"/>
        <w:rPr>
          <w:rFonts w:ascii="Arial" w:hAnsi="Arial" w:cs="Arial"/>
          <w:b/>
          <w:iCs/>
          <w:sz w:val="20"/>
          <w:u w:val="single"/>
        </w:rPr>
      </w:pPr>
    </w:p>
    <w:p w14:paraId="2461726C" w14:textId="77777777" w:rsidR="00022C86" w:rsidRDefault="00B36793" w:rsidP="00EB1F00">
      <w:pPr>
        <w:pStyle w:val="Textoindependiente"/>
        <w:rPr>
          <w:rFonts w:ascii="Arial" w:hAnsi="Arial" w:cs="Arial"/>
          <w:b/>
          <w:iCs/>
          <w:sz w:val="20"/>
          <w:u w:val="single"/>
        </w:rPr>
      </w:pPr>
      <w:r w:rsidRPr="000D1A16">
        <w:rPr>
          <w:rFonts w:ascii="Arial" w:hAnsi="Arial" w:cs="Arial"/>
          <w:b/>
          <w:iCs/>
          <w:sz w:val="20"/>
          <w:u w:val="single"/>
        </w:rPr>
        <w:t>Por recuperar</w:t>
      </w:r>
      <w:r w:rsidR="00773EA2" w:rsidRPr="000D1A16">
        <w:rPr>
          <w:rFonts w:ascii="Arial" w:hAnsi="Arial" w:cs="Arial"/>
          <w:b/>
          <w:iCs/>
          <w:sz w:val="20"/>
          <w:u w:val="single"/>
        </w:rPr>
        <w:t>:</w:t>
      </w:r>
    </w:p>
    <w:p w14:paraId="496F5A76" w14:textId="6E5C8F9F" w:rsidR="00FB5F9D" w:rsidRDefault="00FB5F9D" w:rsidP="00EB1F00">
      <w:pPr>
        <w:pStyle w:val="Textoindependiente"/>
        <w:rPr>
          <w:rFonts w:ascii="Arial" w:hAnsi="Arial" w:cs="Arial"/>
          <w:b/>
          <w:iCs/>
          <w:sz w:val="20"/>
          <w:u w:val="single"/>
        </w:rPr>
      </w:pPr>
      <w:bookmarkStart w:id="65" w:name="_MON_1617032789"/>
      <w:bookmarkEnd w:id="65"/>
    </w:p>
    <w:bookmarkStart w:id="66" w:name="_MON_1758030988"/>
    <w:bookmarkEnd w:id="66"/>
    <w:p w14:paraId="6FFEC4DD" w14:textId="643D35B8" w:rsidR="00F30D06" w:rsidRDefault="00B0688D" w:rsidP="00EB1F00">
      <w:pPr>
        <w:pStyle w:val="Textoindependiente"/>
        <w:rPr>
          <w:rFonts w:ascii="Arial" w:hAnsi="Arial" w:cs="Arial"/>
          <w:b/>
          <w:iCs/>
          <w:sz w:val="20"/>
          <w:u w:val="single"/>
        </w:rPr>
      </w:pPr>
      <w:r w:rsidRPr="000D1A16">
        <w:rPr>
          <w:rFonts w:ascii="Arial" w:hAnsi="Arial" w:cs="Arial"/>
          <w:bCs/>
          <w:noProof/>
          <w:sz w:val="20"/>
        </w:rPr>
        <w:object w:dxaOrig="8088" w:dyaOrig="1932" w14:anchorId="1BD3471A">
          <v:shape id="_x0000_i1084" type="#_x0000_t75" alt="" style="width:322.2pt;height:96.6pt" o:ole="">
            <v:imagedata r:id="rId32" o:title=""/>
          </v:shape>
          <o:OLEObject Type="Embed" ProgID="Excel.Sheet.12" ShapeID="_x0000_i1084" DrawAspect="Content" ObjectID="_1807083699" r:id="rId33"/>
        </w:object>
      </w:r>
    </w:p>
    <w:p w14:paraId="4FEE2C0F" w14:textId="02507DF6" w:rsidR="001E7BBD" w:rsidRDefault="001E7BBD" w:rsidP="001E7BBD">
      <w:pPr>
        <w:pStyle w:val="Textoindependiente"/>
        <w:rPr>
          <w:rFonts w:ascii="Arial" w:hAnsi="Arial" w:cs="Arial"/>
          <w:sz w:val="20"/>
        </w:rPr>
      </w:pPr>
      <w:r w:rsidRPr="000D1A16">
        <w:rPr>
          <w:rFonts w:ascii="Arial" w:hAnsi="Arial" w:cs="Arial"/>
          <w:sz w:val="20"/>
        </w:rPr>
        <w:t xml:space="preserve">Los saldos por recuperar al </w:t>
      </w:r>
      <w:r>
        <w:rPr>
          <w:rFonts w:ascii="Arial" w:hAnsi="Arial" w:cs="Arial"/>
          <w:sz w:val="20"/>
        </w:rPr>
        <w:t xml:space="preserve">31 de diciembre del </w:t>
      </w:r>
      <w:r w:rsidR="00C03AB5">
        <w:rPr>
          <w:rFonts w:ascii="Arial" w:hAnsi="Arial" w:cs="Arial"/>
          <w:sz w:val="20"/>
        </w:rPr>
        <w:t>2024</w:t>
      </w:r>
      <w:r w:rsidR="00967E05">
        <w:rPr>
          <w:rFonts w:ascii="Arial" w:hAnsi="Arial" w:cs="Arial"/>
          <w:sz w:val="20"/>
        </w:rPr>
        <w:t xml:space="preserve"> y </w:t>
      </w:r>
      <w:r w:rsidR="00C03AB5">
        <w:rPr>
          <w:rFonts w:ascii="Arial" w:hAnsi="Arial" w:cs="Arial"/>
          <w:sz w:val="20"/>
        </w:rPr>
        <w:t>2023</w:t>
      </w:r>
      <w:r>
        <w:rPr>
          <w:rFonts w:ascii="Arial" w:hAnsi="Arial" w:cs="Arial"/>
          <w:sz w:val="20"/>
        </w:rPr>
        <w:t xml:space="preserve"> </w:t>
      </w:r>
      <w:r w:rsidRPr="000D1A16">
        <w:rPr>
          <w:rFonts w:ascii="Arial" w:hAnsi="Arial" w:cs="Arial"/>
          <w:sz w:val="20"/>
        </w:rPr>
        <w:t>constituye</w:t>
      </w:r>
      <w:r w:rsidR="00F30D06">
        <w:rPr>
          <w:rFonts w:ascii="Arial" w:hAnsi="Arial" w:cs="Arial"/>
          <w:sz w:val="20"/>
        </w:rPr>
        <w:t>n</w:t>
      </w:r>
      <w:r w:rsidRPr="000D1A16">
        <w:rPr>
          <w:rFonts w:ascii="Arial" w:hAnsi="Arial" w:cs="Arial"/>
          <w:sz w:val="20"/>
        </w:rPr>
        <w:t xml:space="preserve"> el saldo a favor de la Compañía de las retenciones que le efectuaron de impuesto a la renta </w:t>
      </w:r>
      <w:r w:rsidR="00F30D06">
        <w:rPr>
          <w:rFonts w:ascii="Arial" w:hAnsi="Arial" w:cs="Arial"/>
          <w:sz w:val="20"/>
        </w:rPr>
        <w:t xml:space="preserve">y el crédito tributario de impuesto al valor agregado </w:t>
      </w:r>
      <w:r w:rsidRPr="000D1A16">
        <w:rPr>
          <w:rFonts w:ascii="Arial" w:hAnsi="Arial" w:cs="Arial"/>
          <w:sz w:val="20"/>
        </w:rPr>
        <w:t xml:space="preserve">los cuales </w:t>
      </w:r>
      <w:r>
        <w:rPr>
          <w:rFonts w:ascii="Arial" w:hAnsi="Arial" w:cs="Arial"/>
          <w:sz w:val="20"/>
        </w:rPr>
        <w:t>serán</w:t>
      </w:r>
      <w:r w:rsidRPr="000D1A16">
        <w:rPr>
          <w:rFonts w:ascii="Arial" w:hAnsi="Arial" w:cs="Arial"/>
          <w:sz w:val="20"/>
        </w:rPr>
        <w:t xml:space="preserve"> compensados con los impuestos de la Compañía</w:t>
      </w:r>
      <w:r>
        <w:rPr>
          <w:rFonts w:ascii="Arial" w:hAnsi="Arial" w:cs="Arial"/>
          <w:sz w:val="20"/>
        </w:rPr>
        <w:t>.</w:t>
      </w:r>
    </w:p>
    <w:p w14:paraId="7F1D0CAB" w14:textId="77777777" w:rsidR="00CC41E2" w:rsidRPr="000D1A16" w:rsidRDefault="00CC41E2" w:rsidP="00B36793">
      <w:pPr>
        <w:pStyle w:val="Textoindependiente"/>
        <w:rPr>
          <w:rFonts w:ascii="Arial" w:hAnsi="Arial" w:cs="Arial"/>
          <w:sz w:val="20"/>
        </w:rPr>
      </w:pPr>
    </w:p>
    <w:p w14:paraId="13194E9A" w14:textId="15D7A3B8" w:rsidR="00395DBA" w:rsidRPr="000D1A16" w:rsidRDefault="00703AD7" w:rsidP="008D7017">
      <w:pPr>
        <w:tabs>
          <w:tab w:val="left" w:pos="-720"/>
        </w:tabs>
        <w:suppressAutoHyphens/>
        <w:jc w:val="both"/>
        <w:rPr>
          <w:rFonts w:ascii="Arial" w:hAnsi="Arial" w:cs="Arial"/>
          <w:b/>
          <w:spacing w:val="-3"/>
          <w:sz w:val="20"/>
          <w:szCs w:val="20"/>
        </w:rPr>
      </w:pPr>
      <w:r w:rsidRPr="0037750F">
        <w:rPr>
          <w:rFonts w:ascii="Arial" w:hAnsi="Arial" w:cs="Arial"/>
          <w:b/>
          <w:spacing w:val="-3"/>
          <w:sz w:val="20"/>
          <w:szCs w:val="20"/>
        </w:rPr>
        <w:t>NOT</w:t>
      </w:r>
      <w:r w:rsidR="001E7BBD">
        <w:rPr>
          <w:rFonts w:ascii="Arial" w:hAnsi="Arial" w:cs="Arial"/>
          <w:b/>
          <w:spacing w:val="-3"/>
          <w:sz w:val="20"/>
          <w:szCs w:val="20"/>
        </w:rPr>
        <w:t>A 1</w:t>
      </w:r>
      <w:r w:rsidR="00071971">
        <w:rPr>
          <w:rFonts w:ascii="Arial" w:hAnsi="Arial" w:cs="Arial"/>
          <w:b/>
          <w:spacing w:val="-3"/>
          <w:sz w:val="20"/>
          <w:szCs w:val="20"/>
        </w:rPr>
        <w:t>9</w:t>
      </w:r>
      <w:r w:rsidR="00395DBA" w:rsidRPr="0037750F">
        <w:rPr>
          <w:rFonts w:ascii="Arial" w:hAnsi="Arial" w:cs="Arial"/>
          <w:b/>
          <w:spacing w:val="-3"/>
          <w:sz w:val="20"/>
          <w:szCs w:val="20"/>
        </w:rPr>
        <w:t xml:space="preserve"> – IMPUESTO A LA RENTA</w:t>
      </w:r>
      <w:r w:rsidR="00F2317E" w:rsidRPr="0037750F">
        <w:rPr>
          <w:rFonts w:ascii="Arial" w:hAnsi="Arial" w:cs="Arial"/>
          <w:b/>
          <w:spacing w:val="-3"/>
          <w:sz w:val="20"/>
          <w:szCs w:val="20"/>
        </w:rPr>
        <w:t xml:space="preserve"> CORRIENTE Y DIFERIDOS</w:t>
      </w:r>
    </w:p>
    <w:p w14:paraId="4CE92091" w14:textId="77777777" w:rsidR="0037750F" w:rsidRDefault="0037750F" w:rsidP="00AD2F70">
      <w:pPr>
        <w:jc w:val="both"/>
        <w:rPr>
          <w:rFonts w:ascii="Arial" w:hAnsi="Arial" w:cs="Arial"/>
          <w:b/>
          <w:sz w:val="20"/>
          <w:szCs w:val="20"/>
        </w:rPr>
      </w:pPr>
      <w:bookmarkStart w:id="67" w:name="_Toc354734558"/>
    </w:p>
    <w:p w14:paraId="2693447A" w14:textId="578B2AD5" w:rsidR="00AE753E" w:rsidRDefault="00AE753E" w:rsidP="00AE753E">
      <w:pPr>
        <w:jc w:val="both"/>
        <w:rPr>
          <w:rFonts w:ascii="Arial" w:hAnsi="Arial" w:cs="Arial"/>
          <w:bCs/>
          <w:sz w:val="20"/>
          <w:szCs w:val="20"/>
        </w:rPr>
      </w:pPr>
      <w:r w:rsidRPr="000D1A16">
        <w:rPr>
          <w:rFonts w:ascii="Arial" w:hAnsi="Arial" w:cs="Arial"/>
          <w:bCs/>
          <w:sz w:val="20"/>
          <w:szCs w:val="20"/>
        </w:rPr>
        <w:t>Un resumen del impuesto a la renta corriente y diferido cargado a resultados, por el año termi</w:t>
      </w:r>
      <w:r w:rsidR="001E7BBD">
        <w:rPr>
          <w:rFonts w:ascii="Arial" w:hAnsi="Arial" w:cs="Arial"/>
          <w:bCs/>
          <w:sz w:val="20"/>
          <w:szCs w:val="20"/>
        </w:rPr>
        <w:t xml:space="preserve">nado al 31 de diciembre del </w:t>
      </w:r>
      <w:r w:rsidR="00C03AB5">
        <w:rPr>
          <w:rFonts w:ascii="Arial" w:hAnsi="Arial" w:cs="Arial"/>
          <w:bCs/>
          <w:sz w:val="20"/>
          <w:szCs w:val="20"/>
        </w:rPr>
        <w:t>2024</w:t>
      </w:r>
      <w:r w:rsidR="001E7BBD">
        <w:rPr>
          <w:rFonts w:ascii="Arial" w:hAnsi="Arial" w:cs="Arial"/>
          <w:bCs/>
          <w:sz w:val="20"/>
          <w:szCs w:val="20"/>
        </w:rPr>
        <w:t xml:space="preserve"> y </w:t>
      </w:r>
      <w:r w:rsidR="00C03AB5">
        <w:rPr>
          <w:rFonts w:ascii="Arial" w:hAnsi="Arial" w:cs="Arial"/>
          <w:bCs/>
          <w:sz w:val="20"/>
          <w:szCs w:val="20"/>
        </w:rPr>
        <w:t>2023</w:t>
      </w:r>
      <w:r w:rsidRPr="000D1A16">
        <w:rPr>
          <w:rFonts w:ascii="Arial" w:hAnsi="Arial" w:cs="Arial"/>
          <w:bCs/>
          <w:sz w:val="20"/>
          <w:szCs w:val="20"/>
        </w:rPr>
        <w:t xml:space="preserve"> fue como sigue:</w:t>
      </w:r>
    </w:p>
    <w:bookmarkStart w:id="68" w:name="_MON_1649260796"/>
    <w:bookmarkEnd w:id="68"/>
    <w:p w14:paraId="7AB6C213" w14:textId="28182E7F" w:rsidR="00AE753E" w:rsidRDefault="00B0688D" w:rsidP="00AE753E">
      <w:pPr>
        <w:jc w:val="both"/>
        <w:rPr>
          <w:rFonts w:ascii="Arial" w:hAnsi="Arial" w:cs="Arial"/>
          <w:bCs/>
          <w:sz w:val="20"/>
          <w:szCs w:val="20"/>
        </w:rPr>
      </w:pPr>
      <w:r w:rsidRPr="000D1A16">
        <w:rPr>
          <w:rFonts w:ascii="Arial" w:hAnsi="Arial" w:cs="Arial"/>
          <w:bCs/>
          <w:noProof/>
          <w:sz w:val="20"/>
          <w:szCs w:val="20"/>
        </w:rPr>
        <w:object w:dxaOrig="7836" w:dyaOrig="1668" w14:anchorId="4D68532D">
          <v:shape id="_x0000_i1093" type="#_x0000_t75" alt="" style="width:312.6pt;height:84pt" o:ole="">
            <v:imagedata r:id="rId34" o:title=""/>
          </v:shape>
          <o:OLEObject Type="Embed" ProgID="Excel.Sheet.12" ShapeID="_x0000_i1093" DrawAspect="Content" ObjectID="_1807083700" r:id="rId35"/>
        </w:object>
      </w:r>
    </w:p>
    <w:p w14:paraId="5040573A" w14:textId="77777777" w:rsidR="00395DBA" w:rsidRPr="000D1A16" w:rsidRDefault="00395DBA" w:rsidP="00AD2F70">
      <w:pPr>
        <w:jc w:val="both"/>
        <w:rPr>
          <w:rFonts w:ascii="Arial" w:hAnsi="Arial" w:cs="Arial"/>
          <w:b/>
          <w:bCs/>
          <w:sz w:val="20"/>
          <w:szCs w:val="20"/>
        </w:rPr>
      </w:pPr>
      <w:r w:rsidRPr="000D1A16">
        <w:rPr>
          <w:rFonts w:ascii="Arial" w:hAnsi="Arial" w:cs="Arial"/>
          <w:b/>
          <w:sz w:val="20"/>
          <w:szCs w:val="20"/>
        </w:rPr>
        <w:t>Conciliación tributaria</w:t>
      </w:r>
      <w:bookmarkEnd w:id="67"/>
    </w:p>
    <w:p w14:paraId="4F5F1D84" w14:textId="77777777" w:rsidR="00395DBA" w:rsidRPr="000D1A16" w:rsidRDefault="00395DBA" w:rsidP="00F449C4">
      <w:pPr>
        <w:ind w:left="567"/>
        <w:jc w:val="both"/>
        <w:rPr>
          <w:rFonts w:ascii="Arial" w:hAnsi="Arial" w:cs="Arial"/>
          <w:bCs/>
          <w:sz w:val="20"/>
          <w:szCs w:val="20"/>
        </w:rPr>
      </w:pPr>
    </w:p>
    <w:p w14:paraId="0EFC3BCE" w14:textId="588DB5FC" w:rsidR="00874295" w:rsidRDefault="00395DBA" w:rsidP="003C1308">
      <w:pPr>
        <w:jc w:val="both"/>
        <w:rPr>
          <w:rFonts w:ascii="Arial" w:hAnsi="Arial" w:cs="Arial"/>
          <w:sz w:val="20"/>
          <w:szCs w:val="20"/>
        </w:rPr>
      </w:pPr>
      <w:r w:rsidRPr="000D1A16">
        <w:rPr>
          <w:rFonts w:ascii="Arial" w:hAnsi="Arial" w:cs="Arial"/>
          <w:bCs/>
          <w:sz w:val="20"/>
          <w:szCs w:val="20"/>
        </w:rPr>
        <w:t>El gasto del impuesto a la renta de los años que termi</w:t>
      </w:r>
      <w:r w:rsidR="00E1603C" w:rsidRPr="000D1A16">
        <w:rPr>
          <w:rFonts w:ascii="Arial" w:hAnsi="Arial" w:cs="Arial"/>
          <w:bCs/>
          <w:sz w:val="20"/>
          <w:szCs w:val="20"/>
        </w:rPr>
        <w:t xml:space="preserve">naron al </w:t>
      </w:r>
      <w:r w:rsidR="00CB3D81">
        <w:rPr>
          <w:rFonts w:ascii="Arial" w:hAnsi="Arial" w:cs="Arial"/>
          <w:bCs/>
          <w:sz w:val="20"/>
          <w:szCs w:val="20"/>
        </w:rPr>
        <w:t xml:space="preserve">31 de diciembre del </w:t>
      </w:r>
      <w:r w:rsidR="00C03AB5">
        <w:rPr>
          <w:rFonts w:ascii="Arial" w:hAnsi="Arial" w:cs="Arial"/>
          <w:bCs/>
          <w:sz w:val="20"/>
          <w:szCs w:val="20"/>
        </w:rPr>
        <w:t>2024</w:t>
      </w:r>
      <w:r w:rsidR="00CB3D81">
        <w:rPr>
          <w:rFonts w:ascii="Arial" w:hAnsi="Arial" w:cs="Arial"/>
          <w:bCs/>
          <w:sz w:val="20"/>
          <w:szCs w:val="20"/>
        </w:rPr>
        <w:t xml:space="preserve"> y </w:t>
      </w:r>
      <w:r w:rsidR="00C03AB5">
        <w:rPr>
          <w:rFonts w:ascii="Arial" w:hAnsi="Arial" w:cs="Arial"/>
          <w:bCs/>
          <w:sz w:val="20"/>
          <w:szCs w:val="20"/>
        </w:rPr>
        <w:t>2023</w:t>
      </w:r>
      <w:r w:rsidRPr="000D1A16">
        <w:rPr>
          <w:rFonts w:ascii="Arial" w:hAnsi="Arial" w:cs="Arial"/>
          <w:bCs/>
          <w:sz w:val="20"/>
          <w:szCs w:val="20"/>
        </w:rPr>
        <w:t xml:space="preserve"> </w:t>
      </w:r>
      <w:r w:rsidRPr="000D1A16">
        <w:rPr>
          <w:rFonts w:ascii="Arial" w:hAnsi="Arial" w:cs="Arial"/>
          <w:sz w:val="20"/>
          <w:szCs w:val="20"/>
        </w:rPr>
        <w:t xml:space="preserve">difiere de la aplicación de la </w:t>
      </w:r>
      <w:r w:rsidR="0037750F">
        <w:rPr>
          <w:rFonts w:ascii="Arial" w:hAnsi="Arial" w:cs="Arial"/>
          <w:sz w:val="20"/>
          <w:szCs w:val="20"/>
        </w:rPr>
        <w:t>tasa del impuesto a renta del 22</w:t>
      </w:r>
      <w:r w:rsidRPr="000D1A16">
        <w:rPr>
          <w:rFonts w:ascii="Arial" w:hAnsi="Arial" w:cs="Arial"/>
          <w:sz w:val="20"/>
          <w:szCs w:val="20"/>
        </w:rPr>
        <w:t>% a las utilidades contables debido a lo siguiente:</w:t>
      </w:r>
      <w:bookmarkStart w:id="69" w:name="_MON_1457288965"/>
      <w:bookmarkStart w:id="70" w:name="_MON_1457289002"/>
      <w:bookmarkStart w:id="71" w:name="_MON_1363269897"/>
      <w:bookmarkStart w:id="72" w:name="_MON_1363270557"/>
      <w:bookmarkStart w:id="73" w:name="_MON_1363270632"/>
      <w:bookmarkStart w:id="74" w:name="_MON_1363270822"/>
      <w:bookmarkStart w:id="75" w:name="_MON_1363270985"/>
      <w:bookmarkStart w:id="76" w:name="_MON_1372447318"/>
      <w:bookmarkStart w:id="77" w:name="_MON_1372449458"/>
      <w:bookmarkStart w:id="78" w:name="_MON_1372449486"/>
      <w:bookmarkStart w:id="79" w:name="_MON_1372449620"/>
      <w:bookmarkStart w:id="80" w:name="_MON_1372617237"/>
      <w:bookmarkStart w:id="81" w:name="_MON_1373223206"/>
      <w:bookmarkStart w:id="82" w:name="_MON_1373353573"/>
      <w:bookmarkStart w:id="83" w:name="_MON_1378545220"/>
      <w:bookmarkStart w:id="84" w:name="_MON_1378548402"/>
      <w:bookmarkStart w:id="85" w:name="_MON_1384105749"/>
      <w:bookmarkStart w:id="86" w:name="_MON_1384105862"/>
      <w:bookmarkStart w:id="87" w:name="_MON_1384285934"/>
      <w:bookmarkStart w:id="88" w:name="_MON_1384286959"/>
      <w:bookmarkStart w:id="89" w:name="_MON_1384286983"/>
      <w:bookmarkStart w:id="90" w:name="_MON_1384287018"/>
      <w:bookmarkStart w:id="91" w:name="_MON_1386665032"/>
      <w:bookmarkStart w:id="92" w:name="_MON_1386665149"/>
      <w:bookmarkStart w:id="93" w:name="_MON_1386665472"/>
      <w:bookmarkStart w:id="94" w:name="_MON_1387057722"/>
      <w:bookmarkStart w:id="95" w:name="_MON_1387057897"/>
      <w:bookmarkStart w:id="96" w:name="_MON_1388431889"/>
      <w:bookmarkStart w:id="97" w:name="_MON_1388431938"/>
      <w:bookmarkStart w:id="98" w:name="_MON_1388910578"/>
      <w:bookmarkStart w:id="99" w:name="_MON_1389095446"/>
      <w:bookmarkStart w:id="100" w:name="_MON_1389095489"/>
      <w:bookmarkStart w:id="101" w:name="_MON_1389527905"/>
      <w:bookmarkStart w:id="102" w:name="_MON_1389528144"/>
      <w:bookmarkStart w:id="103" w:name="_MON_1389528155"/>
      <w:bookmarkStart w:id="104" w:name="_MON_1389528170"/>
      <w:bookmarkStart w:id="105" w:name="_MON_1391346835"/>
      <w:bookmarkStart w:id="106" w:name="_MON_1391346871"/>
      <w:bookmarkStart w:id="107" w:name="_MON_1391346880"/>
      <w:bookmarkStart w:id="108" w:name="_MON_1391347175"/>
      <w:bookmarkStart w:id="109" w:name="_MON_1391667733"/>
      <w:bookmarkStart w:id="110" w:name="_MON_1391667850"/>
      <w:bookmarkStart w:id="111" w:name="_MON_1391667864"/>
      <w:bookmarkStart w:id="112" w:name="_MON_1391667944"/>
      <w:bookmarkStart w:id="113" w:name="_MON_1391667956"/>
      <w:bookmarkStart w:id="114" w:name="_MON_1391680280"/>
      <w:bookmarkStart w:id="115" w:name="_MON_1391685862"/>
      <w:bookmarkStart w:id="116" w:name="_MON_1391691581"/>
      <w:bookmarkStart w:id="117" w:name="_MON_1391852009"/>
      <w:bookmarkStart w:id="118" w:name="_MON_1391852100"/>
      <w:bookmarkStart w:id="119" w:name="_MON_1456777607"/>
      <w:bookmarkStart w:id="120" w:name="_MON_1457253686"/>
      <w:bookmarkStart w:id="121" w:name="_MON_1457288951"/>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7D8F020F" w14:textId="77777777" w:rsidR="0037750F" w:rsidRPr="00CC41E2" w:rsidRDefault="0037750F" w:rsidP="003C1308">
      <w:pPr>
        <w:jc w:val="both"/>
        <w:rPr>
          <w:rFonts w:ascii="Arial" w:hAnsi="Arial" w:cs="Arial"/>
          <w:bCs/>
          <w:sz w:val="20"/>
          <w:szCs w:val="20"/>
        </w:rPr>
      </w:pPr>
    </w:p>
    <w:bookmarkStart w:id="122" w:name="_MON_1649261156"/>
    <w:bookmarkEnd w:id="122"/>
    <w:p w14:paraId="272E5B6D" w14:textId="77777777" w:rsidR="00F86EDE" w:rsidRPr="00707BA2" w:rsidRDefault="00B0688D" w:rsidP="00F86EDE">
      <w:pPr>
        <w:jc w:val="both"/>
        <w:rPr>
          <w:rFonts w:ascii="Arial" w:hAnsi="Arial" w:cs="Arial"/>
          <w:bCs/>
          <w:sz w:val="20"/>
          <w:szCs w:val="20"/>
        </w:rPr>
      </w:pPr>
      <w:r w:rsidRPr="00AE4E02">
        <w:rPr>
          <w:rFonts w:ascii="Arial" w:hAnsi="Arial" w:cs="Arial"/>
          <w:noProof/>
          <w:sz w:val="20"/>
          <w:szCs w:val="20"/>
        </w:rPr>
        <w:object w:dxaOrig="10285" w:dyaOrig="3784" w14:anchorId="364BCEC6">
          <v:shape id="_x0000_i1108" type="#_x0000_t75" alt="" style="width:457.8pt;height:174pt" o:ole="">
            <v:imagedata r:id="rId36" o:title=""/>
          </v:shape>
          <o:OLEObject Type="Embed" ProgID="Excel.Sheet.12" ShapeID="_x0000_i1108" DrawAspect="Content" ObjectID="_1807083701" r:id="rId37"/>
        </w:object>
      </w:r>
      <w:r w:rsidR="00311476" w:rsidRPr="00311476">
        <w:rPr>
          <w:rFonts w:ascii="Arial" w:hAnsi="Arial" w:cs="Arial"/>
          <w:bCs/>
          <w:sz w:val="20"/>
          <w:szCs w:val="20"/>
        </w:rPr>
        <w:t xml:space="preserve"> </w:t>
      </w:r>
      <w:r w:rsidR="00F86EDE" w:rsidRPr="00707BA2">
        <w:rPr>
          <w:rFonts w:ascii="Arial" w:hAnsi="Arial" w:cs="Arial"/>
          <w:bCs/>
          <w:sz w:val="20"/>
          <w:szCs w:val="20"/>
        </w:rPr>
        <w:t>El impuesto a la renta de la Compañía se calcula en forma anual al cierre al 31 de diciembre de cada período fiscal, aplicando a las utilidades gravables la tasa del impuesto a la renta vigente.</w:t>
      </w:r>
    </w:p>
    <w:p w14:paraId="387619E0" w14:textId="77777777" w:rsidR="00F86EDE" w:rsidRPr="00707BA2" w:rsidRDefault="00F86EDE" w:rsidP="00F86EDE">
      <w:pPr>
        <w:jc w:val="both"/>
        <w:rPr>
          <w:rFonts w:ascii="Arial" w:hAnsi="Arial" w:cs="Arial"/>
          <w:bCs/>
          <w:sz w:val="20"/>
          <w:szCs w:val="20"/>
        </w:rPr>
      </w:pPr>
    </w:p>
    <w:p w14:paraId="25CB6AF9"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Las sociedades nuevas que se constituyan fuera de las zonas urbanas de los cantones Quito y Guayaquil y dentro de ciertos sectores económicos, están exentas del pago del impuesto a la renta por el período de cinco años a partir de su constitución, siempre y cuando las inversiones nuevas y productivas se realicen fuera de las jurisdicciones urbanas antes mencionadas.</w:t>
      </w:r>
    </w:p>
    <w:p w14:paraId="07D3A448" w14:textId="77777777" w:rsidR="00F86EDE" w:rsidRPr="00707BA2" w:rsidRDefault="00F86EDE" w:rsidP="00F86EDE">
      <w:pPr>
        <w:jc w:val="both"/>
        <w:rPr>
          <w:rFonts w:ascii="Arial" w:hAnsi="Arial" w:cs="Arial"/>
          <w:bCs/>
          <w:sz w:val="20"/>
          <w:szCs w:val="20"/>
        </w:rPr>
      </w:pPr>
    </w:p>
    <w:p w14:paraId="5D521F1E"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Están exentas del pago del impuesto a la renta, las nuevas inversiones productivas que se realicen en las provincias de Manabí y Esmeraldas en los tres años siguientes contados a partir de la vigencia de la Ley Orgánica de Solidaridad y de Corresponsabilidad Ciudadana para la Reconstrucción y Reactivación de las Zonas Afectadas por el Terremoto del 16 de abril de 2016, publicada en el Suplemento del Registro Oficial No. 759 del 20 de mayo de 2016.</w:t>
      </w:r>
    </w:p>
    <w:p w14:paraId="3280AE3F" w14:textId="77777777" w:rsidR="00F86EDE" w:rsidRPr="00707BA2" w:rsidRDefault="00F86EDE" w:rsidP="00F86EDE">
      <w:pPr>
        <w:contextualSpacing/>
        <w:jc w:val="both"/>
        <w:rPr>
          <w:rFonts w:ascii="Arial" w:hAnsi="Arial" w:cs="Arial"/>
          <w:sz w:val="20"/>
          <w:szCs w:val="20"/>
        </w:rPr>
      </w:pPr>
    </w:p>
    <w:p w14:paraId="0DA97364" w14:textId="77777777" w:rsidR="00F86EDE" w:rsidRPr="00707BA2" w:rsidRDefault="00F86EDE" w:rsidP="00F86EDE">
      <w:pPr>
        <w:jc w:val="both"/>
        <w:rPr>
          <w:rFonts w:ascii="Arial" w:hAnsi="Arial" w:cs="Arial"/>
          <w:b/>
          <w:bCs/>
          <w:sz w:val="20"/>
          <w:szCs w:val="20"/>
          <w:u w:val="single"/>
        </w:rPr>
      </w:pPr>
      <w:r w:rsidRPr="00707BA2">
        <w:rPr>
          <w:rFonts w:ascii="Arial" w:hAnsi="Arial" w:cs="Arial"/>
          <w:b/>
          <w:bCs/>
          <w:sz w:val="20"/>
          <w:szCs w:val="20"/>
          <w:u w:val="single"/>
        </w:rPr>
        <w:t>Tasa del impuesto a la renta</w:t>
      </w:r>
    </w:p>
    <w:p w14:paraId="38BC8843" w14:textId="77777777" w:rsidR="00F86EDE" w:rsidRPr="00707BA2" w:rsidRDefault="00F86EDE" w:rsidP="00F86EDE">
      <w:pPr>
        <w:jc w:val="both"/>
        <w:rPr>
          <w:rFonts w:ascii="Arial" w:hAnsi="Arial" w:cs="Arial"/>
          <w:bCs/>
          <w:sz w:val="20"/>
          <w:szCs w:val="20"/>
        </w:rPr>
      </w:pPr>
    </w:p>
    <w:p w14:paraId="33C45060"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Las disposiciones tributarias vigentes establecen que la tarifa del impuesto a la renta del 2</w:t>
      </w:r>
      <w:r>
        <w:rPr>
          <w:rFonts w:ascii="Arial" w:hAnsi="Arial" w:cs="Arial"/>
          <w:bCs/>
          <w:sz w:val="20"/>
          <w:szCs w:val="20"/>
        </w:rPr>
        <w:t>2</w:t>
      </w:r>
      <w:r w:rsidRPr="00707BA2">
        <w:rPr>
          <w:rFonts w:ascii="Arial" w:hAnsi="Arial" w:cs="Arial"/>
          <w:bCs/>
          <w:sz w:val="20"/>
          <w:szCs w:val="20"/>
        </w:rPr>
        <w:t>% en el 202</w:t>
      </w:r>
      <w:r>
        <w:rPr>
          <w:rFonts w:ascii="Arial" w:hAnsi="Arial" w:cs="Arial"/>
          <w:bCs/>
          <w:sz w:val="20"/>
          <w:szCs w:val="20"/>
        </w:rPr>
        <w:t>4</w:t>
      </w:r>
      <w:r w:rsidRPr="00707BA2">
        <w:rPr>
          <w:rFonts w:ascii="Arial" w:hAnsi="Arial" w:cs="Arial"/>
          <w:bCs/>
          <w:sz w:val="20"/>
          <w:szCs w:val="20"/>
        </w:rPr>
        <w:t xml:space="preserve"> y 202</w:t>
      </w:r>
      <w:r>
        <w:rPr>
          <w:rFonts w:ascii="Arial" w:hAnsi="Arial" w:cs="Arial"/>
          <w:bCs/>
          <w:sz w:val="20"/>
          <w:szCs w:val="20"/>
        </w:rPr>
        <w:t>3</w:t>
      </w:r>
      <w:r w:rsidRPr="00707BA2">
        <w:rPr>
          <w:rFonts w:ascii="Arial" w:hAnsi="Arial" w:cs="Arial"/>
          <w:bCs/>
          <w:sz w:val="20"/>
          <w:szCs w:val="20"/>
        </w:rPr>
        <w:t>. La tarifa del impuesto a la renta se incrementará del 2</w:t>
      </w:r>
      <w:r>
        <w:rPr>
          <w:rFonts w:ascii="Arial" w:hAnsi="Arial" w:cs="Arial"/>
          <w:bCs/>
          <w:sz w:val="20"/>
          <w:szCs w:val="20"/>
        </w:rPr>
        <w:t>2</w:t>
      </w:r>
      <w:r w:rsidRPr="00707BA2">
        <w:rPr>
          <w:rFonts w:ascii="Arial" w:hAnsi="Arial" w:cs="Arial"/>
          <w:bCs/>
          <w:sz w:val="20"/>
          <w:szCs w:val="20"/>
        </w:rPr>
        <w:t>% al 2</w:t>
      </w:r>
      <w:r>
        <w:rPr>
          <w:rFonts w:ascii="Arial" w:hAnsi="Arial" w:cs="Arial"/>
          <w:bCs/>
          <w:sz w:val="20"/>
          <w:szCs w:val="20"/>
        </w:rPr>
        <w:t>5</w:t>
      </w:r>
      <w:r w:rsidRPr="00707BA2">
        <w:rPr>
          <w:rFonts w:ascii="Arial" w:hAnsi="Arial" w:cs="Arial"/>
          <w:bCs/>
          <w:sz w:val="20"/>
          <w:szCs w:val="20"/>
        </w:rPr>
        <w:t>% en el 202</w:t>
      </w:r>
      <w:r>
        <w:rPr>
          <w:rFonts w:ascii="Arial" w:hAnsi="Arial" w:cs="Arial"/>
          <w:bCs/>
          <w:sz w:val="20"/>
          <w:szCs w:val="20"/>
        </w:rPr>
        <w:t>4</w:t>
      </w:r>
      <w:r w:rsidRPr="00707BA2">
        <w:rPr>
          <w:rFonts w:ascii="Arial" w:hAnsi="Arial" w:cs="Arial"/>
          <w:bCs/>
          <w:sz w:val="20"/>
          <w:szCs w:val="20"/>
        </w:rPr>
        <w:t xml:space="preserve"> y 202</w:t>
      </w:r>
      <w:r>
        <w:rPr>
          <w:rFonts w:ascii="Arial" w:hAnsi="Arial" w:cs="Arial"/>
          <w:bCs/>
          <w:sz w:val="20"/>
          <w:szCs w:val="20"/>
        </w:rPr>
        <w:t>3</w:t>
      </w:r>
      <w:r w:rsidRPr="00707BA2">
        <w:rPr>
          <w:rFonts w:ascii="Arial" w:hAnsi="Arial" w:cs="Arial"/>
          <w:bCs/>
          <w:sz w:val="20"/>
          <w:szCs w:val="20"/>
        </w:rPr>
        <w:t xml:space="preserve"> en los siguientes casos:</w:t>
      </w:r>
    </w:p>
    <w:p w14:paraId="0D4C4B25" w14:textId="77777777" w:rsidR="00F86EDE" w:rsidRPr="00707BA2" w:rsidRDefault="00F86EDE" w:rsidP="00F86EDE">
      <w:pPr>
        <w:jc w:val="both"/>
        <w:rPr>
          <w:rFonts w:ascii="Arial" w:hAnsi="Arial" w:cs="Arial"/>
          <w:bCs/>
          <w:sz w:val="20"/>
          <w:szCs w:val="20"/>
        </w:rPr>
      </w:pPr>
    </w:p>
    <w:p w14:paraId="42EB7CDE" w14:textId="77777777" w:rsidR="00F86EDE" w:rsidRPr="00707BA2" w:rsidRDefault="00F86EDE" w:rsidP="00F86EDE">
      <w:pPr>
        <w:pStyle w:val="Prrafodelista"/>
        <w:numPr>
          <w:ilvl w:val="0"/>
          <w:numId w:val="15"/>
        </w:numPr>
        <w:spacing w:before="0" w:after="0"/>
        <w:ind w:left="567" w:hanging="567"/>
        <w:rPr>
          <w:rFonts w:ascii="Arial" w:hAnsi="Arial" w:cs="Arial"/>
          <w:bCs/>
          <w:sz w:val="20"/>
          <w:szCs w:val="20"/>
        </w:rPr>
      </w:pPr>
      <w:r w:rsidRPr="00707BA2">
        <w:rPr>
          <w:rFonts w:ascii="Arial" w:hAnsi="Arial" w:cs="Arial"/>
          <w:bCs/>
          <w:sz w:val="20"/>
          <w:szCs w:val="20"/>
        </w:rPr>
        <w:t>Cuando la sociedad tenga accionistas, socios, partícipes, constituyentes, beneficiarios o similares, residentes o establecidos en paraísos fiscales o regímenes de menor imposición; con una participación directa o indirecta, individual o conjunta, igual o mayor al 50% del capital social.</w:t>
      </w:r>
    </w:p>
    <w:p w14:paraId="5F2233DA" w14:textId="77777777" w:rsidR="00F86EDE" w:rsidRPr="00707BA2" w:rsidRDefault="00F86EDE" w:rsidP="00F86EDE">
      <w:pPr>
        <w:pStyle w:val="Prrafodelista"/>
        <w:numPr>
          <w:ilvl w:val="0"/>
          <w:numId w:val="15"/>
        </w:numPr>
        <w:spacing w:after="0"/>
        <w:ind w:left="567" w:hanging="567"/>
        <w:rPr>
          <w:rFonts w:ascii="Arial" w:hAnsi="Arial" w:cs="Arial"/>
          <w:bCs/>
          <w:sz w:val="20"/>
          <w:szCs w:val="20"/>
        </w:rPr>
      </w:pPr>
      <w:r w:rsidRPr="00707BA2">
        <w:rPr>
          <w:rFonts w:ascii="Arial" w:hAnsi="Arial" w:cs="Arial"/>
          <w:bCs/>
          <w:sz w:val="20"/>
          <w:szCs w:val="20"/>
        </w:rPr>
        <w:t>Cuando la participación de los accionistas domiciliados en paraísos fiscales o regímenes de menor imposición sea menor al 50%, la tarifa del impuesto a la renta se aplicará sobre la proporción de la base imponible que corresponda a dicha participación.</w:t>
      </w:r>
    </w:p>
    <w:p w14:paraId="3E2C1EEB" w14:textId="77777777" w:rsidR="00F86EDE" w:rsidRPr="00707BA2" w:rsidRDefault="00F86EDE" w:rsidP="00F86EDE">
      <w:pPr>
        <w:pStyle w:val="Prrafodelista"/>
        <w:numPr>
          <w:ilvl w:val="0"/>
          <w:numId w:val="15"/>
        </w:numPr>
        <w:spacing w:before="0" w:after="0"/>
        <w:ind w:left="567" w:hanging="567"/>
        <w:rPr>
          <w:rFonts w:ascii="Arial" w:hAnsi="Arial" w:cs="Arial"/>
          <w:bCs/>
          <w:sz w:val="20"/>
          <w:szCs w:val="20"/>
        </w:rPr>
      </w:pPr>
      <w:r w:rsidRPr="00707BA2">
        <w:rPr>
          <w:rFonts w:ascii="Arial" w:hAnsi="Arial" w:cs="Arial"/>
          <w:bCs/>
          <w:sz w:val="20"/>
          <w:szCs w:val="20"/>
        </w:rPr>
        <w:lastRenderedPageBreak/>
        <w:t xml:space="preserve">En el evento de que la sociedad que incumpla con el deber de informar la composición de sus accionistas, socios, partícipes, contribuyentes, beneficiarios o similares, conforme a lo que establezca la Ley Orgánica de Régimen Tributario Interno y las resoluciones que emita el Servicio de Rentas Internas, sin perjuicio de otras sanciones que fueren aplicables. </w:t>
      </w:r>
    </w:p>
    <w:p w14:paraId="3DAAE65A" w14:textId="77777777" w:rsidR="00F86EDE" w:rsidRPr="00707BA2" w:rsidRDefault="00F86EDE" w:rsidP="00F86EDE">
      <w:pPr>
        <w:jc w:val="both"/>
        <w:rPr>
          <w:rFonts w:ascii="Arial" w:hAnsi="Arial" w:cs="Arial"/>
          <w:bCs/>
          <w:sz w:val="20"/>
          <w:szCs w:val="20"/>
        </w:rPr>
      </w:pPr>
    </w:p>
    <w:p w14:paraId="6053E163"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En caso de que la Compañía reinvierta sus utilidades en el país en los términos y condiciones que establece la Ley Orgánica de Régimen Tributario Interno, podría obtener una reducción en la tasa del impuesto a la renta de 10 puntos porcentuales sobre el monto reinvertido, siempre y cuando efectúen el correspondiente aumento de capital hasta el 31 de diciembre del siguiente año.</w:t>
      </w:r>
    </w:p>
    <w:p w14:paraId="0CFA72E0" w14:textId="77777777" w:rsidR="00F86EDE" w:rsidRDefault="00F86EDE" w:rsidP="00F86EDE">
      <w:pPr>
        <w:jc w:val="both"/>
        <w:rPr>
          <w:rFonts w:ascii="Arial" w:hAnsi="Arial" w:cs="Arial"/>
          <w:b/>
          <w:bCs/>
          <w:sz w:val="20"/>
          <w:szCs w:val="20"/>
          <w:u w:val="single"/>
        </w:rPr>
      </w:pPr>
    </w:p>
    <w:p w14:paraId="7F15C207" w14:textId="77777777" w:rsidR="00F86EDE" w:rsidRPr="00707BA2" w:rsidRDefault="00F86EDE" w:rsidP="00F86EDE">
      <w:pPr>
        <w:jc w:val="both"/>
        <w:rPr>
          <w:rFonts w:ascii="Arial" w:hAnsi="Arial" w:cs="Arial"/>
          <w:b/>
          <w:bCs/>
          <w:sz w:val="20"/>
          <w:szCs w:val="20"/>
          <w:u w:val="single"/>
        </w:rPr>
      </w:pPr>
      <w:r w:rsidRPr="00707BA2">
        <w:rPr>
          <w:rFonts w:ascii="Arial" w:hAnsi="Arial" w:cs="Arial"/>
          <w:b/>
          <w:bCs/>
          <w:sz w:val="20"/>
          <w:szCs w:val="20"/>
          <w:u w:val="single"/>
        </w:rPr>
        <w:t>Anticipo del impuesto a la renta</w:t>
      </w:r>
    </w:p>
    <w:p w14:paraId="00C191C4" w14:textId="77777777" w:rsidR="00F86EDE" w:rsidRPr="00707BA2" w:rsidRDefault="00F86EDE" w:rsidP="00F86EDE">
      <w:pPr>
        <w:jc w:val="both"/>
        <w:rPr>
          <w:rFonts w:ascii="Arial" w:hAnsi="Arial" w:cs="Arial"/>
          <w:bCs/>
          <w:sz w:val="20"/>
          <w:szCs w:val="20"/>
        </w:rPr>
      </w:pPr>
    </w:p>
    <w:p w14:paraId="1D01AC33"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Se eliminará la obligación del pago del anticipo de impuesto a la renta; pudiendo anticiparse de forma voluntaria el impuesto equivalente al 50% del impuesto a la renta causado en el año anterior menos retenciones en la fuente efectuadas en el ejercicio fiscal anterior.</w:t>
      </w:r>
    </w:p>
    <w:p w14:paraId="6437E982" w14:textId="77777777" w:rsidR="00F86EDE" w:rsidRPr="00707BA2" w:rsidRDefault="00F86EDE" w:rsidP="00F86EDE">
      <w:pPr>
        <w:jc w:val="both"/>
        <w:rPr>
          <w:rFonts w:ascii="Arial" w:hAnsi="Arial" w:cs="Arial"/>
          <w:b/>
          <w:bCs/>
          <w:sz w:val="20"/>
          <w:szCs w:val="20"/>
          <w:u w:val="single"/>
        </w:rPr>
      </w:pPr>
    </w:p>
    <w:p w14:paraId="5006026B" w14:textId="77777777" w:rsidR="00F86EDE" w:rsidRPr="00707BA2" w:rsidRDefault="00F86EDE" w:rsidP="00F86EDE">
      <w:pPr>
        <w:jc w:val="both"/>
        <w:rPr>
          <w:rFonts w:ascii="Arial" w:hAnsi="Arial" w:cs="Arial"/>
          <w:b/>
          <w:bCs/>
          <w:sz w:val="20"/>
          <w:szCs w:val="20"/>
          <w:u w:val="single"/>
        </w:rPr>
      </w:pPr>
      <w:r w:rsidRPr="00707BA2">
        <w:rPr>
          <w:rFonts w:ascii="Arial" w:hAnsi="Arial" w:cs="Arial"/>
          <w:b/>
          <w:bCs/>
          <w:sz w:val="20"/>
          <w:szCs w:val="20"/>
          <w:u w:val="single"/>
        </w:rPr>
        <w:t>Dividendos en efectivo</w:t>
      </w:r>
    </w:p>
    <w:p w14:paraId="1197B178" w14:textId="77777777" w:rsidR="00F86EDE" w:rsidRPr="00707BA2" w:rsidRDefault="00F86EDE" w:rsidP="00F86EDE">
      <w:pPr>
        <w:jc w:val="both"/>
        <w:rPr>
          <w:rFonts w:ascii="Arial" w:hAnsi="Arial" w:cs="Arial"/>
          <w:bCs/>
          <w:sz w:val="20"/>
          <w:szCs w:val="20"/>
        </w:rPr>
      </w:pPr>
    </w:p>
    <w:p w14:paraId="037FFFF8"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Los dividendos pagados en las utilidades en favor de los accionistas (excepto empresas residentes en el Ecuador) sin importar su residencia fiscal se encuentran gravados con tasa efectiva del 10% (El 25% del 40% del dividendo declarado) y el cual se puede incrementar hasta el 14% cuando no se ha informado la residencia fiscal de los accionistas y en el caso de que los accionistas estén domiciliados en países en los cuales existen convenios de doble tributación la retención se aplicará utilizando esta normativa.</w:t>
      </w:r>
    </w:p>
    <w:p w14:paraId="608B897C" w14:textId="77777777" w:rsidR="00F86EDE" w:rsidRPr="00707BA2" w:rsidRDefault="00F86EDE" w:rsidP="00F86EDE">
      <w:pPr>
        <w:jc w:val="both"/>
        <w:rPr>
          <w:rFonts w:ascii="Arial" w:hAnsi="Arial" w:cs="Arial"/>
          <w:bCs/>
          <w:sz w:val="20"/>
          <w:szCs w:val="20"/>
        </w:rPr>
      </w:pPr>
    </w:p>
    <w:p w14:paraId="64264352"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La sociedad que distribuye los dividendos o utilidades que no ha informado sobre su composición accionaria se debe retener del impuesto a la renta sobres dichos dividendos como si existiera un beneficiario efectivo residente en Ecuador.</w:t>
      </w:r>
    </w:p>
    <w:p w14:paraId="2AF1827F" w14:textId="77777777" w:rsidR="00F86EDE" w:rsidRPr="00707BA2" w:rsidRDefault="00F86EDE" w:rsidP="00F86EDE">
      <w:pPr>
        <w:jc w:val="both"/>
        <w:rPr>
          <w:rFonts w:ascii="Arial" w:hAnsi="Arial" w:cs="Arial"/>
          <w:bCs/>
          <w:sz w:val="20"/>
          <w:szCs w:val="20"/>
        </w:rPr>
      </w:pPr>
    </w:p>
    <w:p w14:paraId="0E281696"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La capitalización y la reinversión de las utilidades no son consideradas como distribución de dividendos y por ende está exenta de la retención de impuesto a la renta.</w:t>
      </w:r>
    </w:p>
    <w:p w14:paraId="32F720CE" w14:textId="77777777" w:rsidR="00F86EDE" w:rsidRPr="00707BA2" w:rsidRDefault="00F86EDE" w:rsidP="00F86EDE">
      <w:pPr>
        <w:jc w:val="both"/>
        <w:rPr>
          <w:rFonts w:ascii="Arial" w:hAnsi="Arial" w:cs="Arial"/>
          <w:bCs/>
          <w:sz w:val="20"/>
          <w:szCs w:val="20"/>
        </w:rPr>
      </w:pPr>
    </w:p>
    <w:p w14:paraId="4DB24E09"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La distribución anticipada dividendos antes de la terminación del ejercicio económico u otorgue préstamos de dinero a sus socios, accionistas o alguna de sus partes relacionadas (préstamos no comerciales), se considerarán como pago anticipado de dividendos y por consiguiente se deberá efectuar la retención correspondiente a la tarifa del impuesto a la renta corporativo vigente al año en curso, sobre el monto de tales pagos. La retención debe ser declarada y pagada al mes siguiente de efectuada y constituirá crédito tributario para la empresa en su declaración del impuesto a la renta.</w:t>
      </w:r>
    </w:p>
    <w:p w14:paraId="4C6888E2" w14:textId="77777777" w:rsidR="00F86EDE" w:rsidRPr="00707BA2" w:rsidRDefault="00F86EDE" w:rsidP="00F86EDE">
      <w:pPr>
        <w:jc w:val="both"/>
        <w:rPr>
          <w:rFonts w:ascii="Arial" w:hAnsi="Arial" w:cs="Arial"/>
          <w:bCs/>
          <w:sz w:val="20"/>
          <w:szCs w:val="20"/>
        </w:rPr>
      </w:pPr>
      <w:r w:rsidRPr="00707BA2">
        <w:rPr>
          <w:rFonts w:ascii="Arial" w:hAnsi="Arial" w:cs="Arial"/>
          <w:bCs/>
          <w:sz w:val="20"/>
          <w:szCs w:val="20"/>
        </w:rPr>
        <w:t xml:space="preserve">Enajenación de acciones y participaciones </w:t>
      </w:r>
    </w:p>
    <w:p w14:paraId="6158293B" w14:textId="77777777" w:rsidR="00F86EDE" w:rsidRPr="00707BA2" w:rsidRDefault="00F86EDE" w:rsidP="00F86EDE">
      <w:pPr>
        <w:jc w:val="both"/>
        <w:rPr>
          <w:rFonts w:ascii="Arial" w:hAnsi="Arial" w:cs="Arial"/>
          <w:i/>
          <w:sz w:val="20"/>
          <w:szCs w:val="20"/>
          <w:u w:val="single"/>
        </w:rPr>
      </w:pPr>
    </w:p>
    <w:p w14:paraId="0E32A231" w14:textId="77777777" w:rsidR="00F86EDE" w:rsidRPr="000D1A16" w:rsidRDefault="00F86EDE" w:rsidP="00F86EDE">
      <w:pPr>
        <w:jc w:val="both"/>
        <w:rPr>
          <w:rFonts w:ascii="Arial" w:hAnsi="Arial" w:cs="Arial"/>
          <w:b/>
          <w:bCs/>
          <w:sz w:val="20"/>
          <w:szCs w:val="20"/>
          <w:u w:val="single"/>
        </w:rPr>
      </w:pPr>
      <w:r>
        <w:rPr>
          <w:rFonts w:ascii="Arial" w:hAnsi="Arial" w:cs="Arial"/>
          <w:b/>
          <w:bCs/>
          <w:sz w:val="20"/>
          <w:szCs w:val="20"/>
          <w:u w:val="single"/>
        </w:rPr>
        <w:t>Impuesto a la salida de divisas</w:t>
      </w:r>
    </w:p>
    <w:p w14:paraId="4784D88A" w14:textId="77777777" w:rsidR="00F86EDE" w:rsidRPr="000D1A16" w:rsidRDefault="00F86EDE" w:rsidP="00F86EDE">
      <w:pPr>
        <w:jc w:val="both"/>
        <w:rPr>
          <w:rFonts w:ascii="Arial" w:hAnsi="Arial" w:cs="Arial"/>
          <w:bCs/>
          <w:sz w:val="20"/>
          <w:szCs w:val="20"/>
        </w:rPr>
      </w:pPr>
    </w:p>
    <w:p w14:paraId="4E73FC73"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El impuesto a la salida de divisas, grava a lo siguiente:</w:t>
      </w:r>
    </w:p>
    <w:p w14:paraId="52A8AB35" w14:textId="77777777" w:rsidR="00F86EDE" w:rsidRPr="001C2A86" w:rsidRDefault="00F86EDE" w:rsidP="00F86EDE">
      <w:pPr>
        <w:jc w:val="both"/>
        <w:rPr>
          <w:rFonts w:ascii="Arial" w:hAnsi="Arial" w:cs="Arial"/>
          <w:iCs/>
          <w:sz w:val="20"/>
          <w:szCs w:val="20"/>
        </w:rPr>
      </w:pPr>
    </w:p>
    <w:p w14:paraId="2BBCEB85" w14:textId="77777777" w:rsidR="00F86EDE" w:rsidRPr="001C2A86" w:rsidRDefault="00F86EDE" w:rsidP="00F86EDE">
      <w:pPr>
        <w:pStyle w:val="Prrafodelista"/>
        <w:numPr>
          <w:ilvl w:val="0"/>
          <w:numId w:val="45"/>
        </w:numPr>
        <w:rPr>
          <w:rFonts w:ascii="Arial" w:hAnsi="Arial" w:cs="Arial"/>
          <w:iCs/>
          <w:sz w:val="20"/>
          <w:szCs w:val="20"/>
        </w:rPr>
      </w:pPr>
      <w:r w:rsidRPr="001C2A86">
        <w:rPr>
          <w:rFonts w:ascii="Arial" w:hAnsi="Arial" w:cs="Arial"/>
          <w:iCs/>
          <w:sz w:val="20"/>
          <w:szCs w:val="20"/>
        </w:rPr>
        <w:t>La transferencia o traslado de divisas al exterior.</w:t>
      </w:r>
    </w:p>
    <w:p w14:paraId="09A409F0" w14:textId="77777777" w:rsidR="00F86EDE" w:rsidRDefault="00F86EDE" w:rsidP="00F86EDE">
      <w:pPr>
        <w:pStyle w:val="Prrafodelista"/>
        <w:numPr>
          <w:ilvl w:val="0"/>
          <w:numId w:val="45"/>
        </w:numPr>
        <w:rPr>
          <w:rFonts w:ascii="Arial" w:hAnsi="Arial" w:cs="Arial"/>
          <w:iCs/>
          <w:sz w:val="20"/>
          <w:szCs w:val="20"/>
        </w:rPr>
      </w:pPr>
      <w:r w:rsidRPr="001C2A86">
        <w:rPr>
          <w:rFonts w:ascii="Arial" w:hAnsi="Arial" w:cs="Arial"/>
          <w:iCs/>
          <w:sz w:val="20"/>
          <w:szCs w:val="20"/>
        </w:rPr>
        <w:t>Los pagos efectuados desde el exterior, inclusive aquellos realizados con recursos financieros en el exterior de la persona natural o la sociedad o de terceros.</w:t>
      </w:r>
    </w:p>
    <w:p w14:paraId="751DEDA3" w14:textId="77777777" w:rsidR="00F86EDE" w:rsidRDefault="00F86EDE" w:rsidP="00F86EDE">
      <w:pPr>
        <w:pStyle w:val="Prrafodelista"/>
        <w:numPr>
          <w:ilvl w:val="0"/>
          <w:numId w:val="45"/>
        </w:numPr>
        <w:rPr>
          <w:rFonts w:ascii="Arial" w:hAnsi="Arial" w:cs="Arial"/>
          <w:iCs/>
          <w:sz w:val="20"/>
          <w:szCs w:val="20"/>
        </w:rPr>
      </w:pPr>
      <w:r w:rsidRPr="001C2A86">
        <w:rPr>
          <w:rFonts w:ascii="Arial" w:hAnsi="Arial" w:cs="Arial"/>
          <w:iCs/>
          <w:sz w:val="20"/>
          <w:szCs w:val="20"/>
        </w:rPr>
        <w:t>Las importaciones pendientes de pago registradas por más de doce (12) meses.</w:t>
      </w:r>
    </w:p>
    <w:p w14:paraId="183281ED" w14:textId="77777777" w:rsidR="00F86EDE" w:rsidRPr="001C2A86" w:rsidRDefault="00F86EDE" w:rsidP="00F86EDE">
      <w:pPr>
        <w:pStyle w:val="Prrafodelista"/>
        <w:numPr>
          <w:ilvl w:val="0"/>
          <w:numId w:val="45"/>
        </w:numPr>
        <w:rPr>
          <w:rFonts w:ascii="Arial" w:hAnsi="Arial" w:cs="Arial"/>
          <w:iCs/>
          <w:sz w:val="20"/>
          <w:szCs w:val="20"/>
        </w:rPr>
      </w:pPr>
      <w:r w:rsidRPr="001C2A86">
        <w:rPr>
          <w:rFonts w:ascii="Arial" w:hAnsi="Arial" w:cs="Arial"/>
          <w:iCs/>
          <w:sz w:val="20"/>
          <w:szCs w:val="20"/>
        </w:rPr>
        <w:t>Las exportaciones de bienes y servicios generados en el Ecuador, efectuadas por personas naturales o sociedades domiciliadas en el Ecuador, cuando las divisas correspondientes a los pagos por concepto de dichas exportaciones no ingresen al Ecuador en un plazo de 180 días.</w:t>
      </w:r>
    </w:p>
    <w:p w14:paraId="64AF1060" w14:textId="77777777" w:rsidR="00F86EDE" w:rsidRPr="001C2A86" w:rsidRDefault="00F86EDE" w:rsidP="00F86EDE">
      <w:pPr>
        <w:jc w:val="both"/>
        <w:rPr>
          <w:rFonts w:ascii="Arial" w:hAnsi="Arial" w:cs="Arial"/>
          <w:iCs/>
          <w:sz w:val="20"/>
          <w:szCs w:val="20"/>
        </w:rPr>
      </w:pPr>
    </w:p>
    <w:p w14:paraId="2B142451"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Están exentos del Impuesto a la Salida de Divisas (ISD), entre otros:</w:t>
      </w:r>
    </w:p>
    <w:p w14:paraId="3622EF1E" w14:textId="77777777" w:rsidR="00F86EDE" w:rsidRDefault="00F86EDE" w:rsidP="00F86EDE">
      <w:pPr>
        <w:pStyle w:val="Prrafodelista"/>
        <w:numPr>
          <w:ilvl w:val="0"/>
          <w:numId w:val="46"/>
        </w:numPr>
        <w:rPr>
          <w:rFonts w:ascii="Arial" w:hAnsi="Arial" w:cs="Arial"/>
          <w:iCs/>
          <w:sz w:val="20"/>
          <w:szCs w:val="20"/>
        </w:rPr>
      </w:pPr>
      <w:r w:rsidRPr="001C2A86">
        <w:rPr>
          <w:rFonts w:ascii="Arial" w:hAnsi="Arial" w:cs="Arial"/>
          <w:iCs/>
          <w:sz w:val="20"/>
          <w:szCs w:val="20"/>
        </w:rPr>
        <w:lastRenderedPageBreak/>
        <w:t>Los pagos realizados al exterior por amortización de capital e intereses de créditos otorgados por instituciones financieras internacionales o entidades no financieras especializadas, con un plazo mayor a 180 días, destinados al financiamiento de inversiones previstas en el Código Orgánico de la Producción, Comercio e Inversiones y que devenguen intereses a las tasas referenciales. El crédito debe ser registrado en el Banco Central del Ecuador.</w:t>
      </w:r>
    </w:p>
    <w:p w14:paraId="753C230B" w14:textId="77777777" w:rsidR="00F86EDE" w:rsidRPr="001C2A86" w:rsidRDefault="00F86EDE" w:rsidP="00F86EDE">
      <w:pPr>
        <w:pStyle w:val="Prrafodelista"/>
        <w:numPr>
          <w:ilvl w:val="0"/>
          <w:numId w:val="46"/>
        </w:numPr>
        <w:rPr>
          <w:rFonts w:ascii="Arial" w:hAnsi="Arial" w:cs="Arial"/>
          <w:iCs/>
          <w:sz w:val="20"/>
          <w:szCs w:val="20"/>
        </w:rPr>
      </w:pPr>
      <w:r w:rsidRPr="001C2A86">
        <w:rPr>
          <w:rFonts w:ascii="Arial" w:hAnsi="Arial" w:cs="Arial"/>
          <w:iCs/>
          <w:sz w:val="20"/>
          <w:szCs w:val="20"/>
        </w:rPr>
        <w:t>Los dividendos distribuidos por sociedades nacionales o extranjeras domiciliadas en el Ecuador, después del pago del impuesto a la renta, a favor de otras sociedades extranjeras o de personas naturales no residentes en el Ecuador. No aplica esta exención cuando los dividendos se distribuyan a favor de sociedades extranjeras de las cuales, a su vez, dentro de su cadena de propiedad, posean directa o indirectamente derechos representativos de capital, las personas naturales o sociedades residentes o domiciliados en el Ecuador que sean accionistas de la sociedad que distribuye los dividendos.</w:t>
      </w:r>
    </w:p>
    <w:p w14:paraId="1F195256" w14:textId="77777777" w:rsidR="00F86EDE" w:rsidRPr="001C2A86" w:rsidRDefault="00F86EDE" w:rsidP="00F86EDE">
      <w:pPr>
        <w:jc w:val="both"/>
        <w:rPr>
          <w:rFonts w:ascii="Arial" w:hAnsi="Arial" w:cs="Arial"/>
          <w:iCs/>
          <w:sz w:val="20"/>
          <w:szCs w:val="20"/>
        </w:rPr>
      </w:pPr>
    </w:p>
    <w:p w14:paraId="2978721A"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El Impuesto a la Salida de Divisas (ISD) podrá ser utilizado como crédito tributario para la determinación del impuesto a la renta hasta por 5 años, siempre que haya sido originado en la importación de materias primas, insumos y bienes de capital con la finalidad de que sean incorporados en procesos productivos, que consten en el listado emitido por el Comité de Política Tributaria.</w:t>
      </w:r>
    </w:p>
    <w:p w14:paraId="0CBE2684" w14:textId="77777777" w:rsidR="00F86EDE" w:rsidRPr="001C2A86" w:rsidRDefault="00F86EDE" w:rsidP="00F86EDE">
      <w:pPr>
        <w:jc w:val="both"/>
        <w:rPr>
          <w:rFonts w:ascii="Arial" w:hAnsi="Arial" w:cs="Arial"/>
          <w:iCs/>
          <w:sz w:val="20"/>
          <w:szCs w:val="20"/>
        </w:rPr>
      </w:pPr>
    </w:p>
    <w:p w14:paraId="75D84BF9"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 xml:space="preserve">El Decreto Ejecutivo 468 de 1 de diciembre de 2024, del </w:t>
      </w:r>
      <w:proofErr w:type="gramStart"/>
      <w:r w:rsidRPr="001C2A86">
        <w:rPr>
          <w:rFonts w:ascii="Arial" w:hAnsi="Arial" w:cs="Arial"/>
          <w:iCs/>
          <w:sz w:val="20"/>
          <w:szCs w:val="20"/>
        </w:rPr>
        <w:t>Presidente</w:t>
      </w:r>
      <w:proofErr w:type="gramEnd"/>
      <w:r w:rsidRPr="001C2A86">
        <w:rPr>
          <w:rFonts w:ascii="Arial" w:hAnsi="Arial" w:cs="Arial"/>
          <w:iCs/>
          <w:sz w:val="20"/>
          <w:szCs w:val="20"/>
        </w:rPr>
        <w:t xml:space="preserve"> de la República modificó la tarifa del Impuesto a la Salida de Divisas (ISD) para el ejercicio fiscal 2025, para los pagos al exterior por importaciones de los bienes que serán definidos mediante acuerdo ministerial por el Ministerio de Economía y Finanzas. El Decreto Modifica la tarifa para las importaciones de las subpartidas arancelarias que determinará, mediante acuerdo ministerial y establece las siguientes:</w:t>
      </w:r>
    </w:p>
    <w:p w14:paraId="05E78E3D" w14:textId="77777777" w:rsidR="00F86EDE" w:rsidRPr="001C2A86" w:rsidRDefault="00F86EDE" w:rsidP="00F86EDE">
      <w:pPr>
        <w:jc w:val="both"/>
        <w:rPr>
          <w:rFonts w:ascii="Arial" w:hAnsi="Arial" w:cs="Arial"/>
          <w:iCs/>
          <w:sz w:val="20"/>
          <w:szCs w:val="20"/>
        </w:rPr>
      </w:pPr>
    </w:p>
    <w:p w14:paraId="1F487A87"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a.</w:t>
      </w:r>
      <w:r w:rsidRPr="001C2A86">
        <w:rPr>
          <w:rFonts w:ascii="Arial" w:hAnsi="Arial" w:cs="Arial"/>
          <w:iCs/>
          <w:sz w:val="20"/>
          <w:szCs w:val="20"/>
        </w:rPr>
        <w:tab/>
        <w:t>Para subpartidas arancelarias de productos farmacéuticos la tarifa es de 0%</w:t>
      </w:r>
    </w:p>
    <w:p w14:paraId="3A9141A5"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b.</w:t>
      </w:r>
      <w:r w:rsidRPr="001C2A86">
        <w:rPr>
          <w:rFonts w:ascii="Arial" w:hAnsi="Arial" w:cs="Arial"/>
          <w:iCs/>
          <w:sz w:val="20"/>
          <w:szCs w:val="20"/>
        </w:rPr>
        <w:tab/>
        <w:t>Para subpartidas arancelarias de otros sectores productivos la tarifa es del 2.5%</w:t>
      </w:r>
    </w:p>
    <w:p w14:paraId="71901E0C" w14:textId="77777777" w:rsidR="00F86EDE" w:rsidRPr="001C2A86" w:rsidRDefault="00F86EDE" w:rsidP="00F86EDE">
      <w:pPr>
        <w:jc w:val="both"/>
        <w:rPr>
          <w:rFonts w:ascii="Arial" w:hAnsi="Arial" w:cs="Arial"/>
          <w:iCs/>
          <w:sz w:val="20"/>
          <w:szCs w:val="20"/>
        </w:rPr>
      </w:pPr>
    </w:p>
    <w:p w14:paraId="40DD9AA9"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La Disposición Transitoria Única, y para mitigar los efectos de la crisis energética, para los meses de enero, febrero y marzo de 2025, fija la tarifa del ISD en el 0%, para las subpartidas arancelarias que serán determinadas mediante acuerdo ministerial.</w:t>
      </w:r>
    </w:p>
    <w:p w14:paraId="1083193E" w14:textId="77777777" w:rsidR="00F86EDE" w:rsidRPr="001C2A86" w:rsidRDefault="00F86EDE" w:rsidP="00F86EDE">
      <w:pPr>
        <w:jc w:val="both"/>
        <w:rPr>
          <w:rFonts w:ascii="Arial" w:hAnsi="Arial" w:cs="Arial"/>
          <w:iCs/>
          <w:sz w:val="20"/>
          <w:szCs w:val="20"/>
        </w:rPr>
      </w:pPr>
    </w:p>
    <w:p w14:paraId="106C1CD1" w14:textId="77777777" w:rsidR="00F86EDE" w:rsidRPr="001C2A86" w:rsidRDefault="00F86EDE" w:rsidP="00F86EDE">
      <w:pPr>
        <w:jc w:val="both"/>
        <w:rPr>
          <w:rFonts w:ascii="Arial" w:hAnsi="Arial" w:cs="Arial"/>
          <w:iCs/>
          <w:sz w:val="20"/>
          <w:szCs w:val="20"/>
        </w:rPr>
      </w:pPr>
      <w:r w:rsidRPr="001C2A86">
        <w:rPr>
          <w:rFonts w:ascii="Arial" w:hAnsi="Arial" w:cs="Arial"/>
          <w:iCs/>
          <w:sz w:val="20"/>
          <w:szCs w:val="20"/>
        </w:rPr>
        <w:t>El Acuerdo Ministerial No. 047 del 24 de diciembre de 2024 emitido por el Ministerio de Economía y Finanzas estableció el listado de subpartidas arancelarias que se beneficiarán de la reducción de tarifas del Impuesto a la Salida de Divisas (ISD) del 2.5% para las importaciones de los bienes que se encuentran identificados que corresponden a sectores distintos al farmacéutico.</w:t>
      </w:r>
    </w:p>
    <w:p w14:paraId="1E9A47BC" w14:textId="77777777" w:rsidR="00F86EDE" w:rsidRPr="001C2A86" w:rsidRDefault="00F86EDE" w:rsidP="00F86EDE">
      <w:pPr>
        <w:jc w:val="both"/>
        <w:rPr>
          <w:rFonts w:ascii="Arial" w:hAnsi="Arial" w:cs="Arial"/>
          <w:iCs/>
          <w:sz w:val="20"/>
          <w:szCs w:val="20"/>
        </w:rPr>
      </w:pPr>
    </w:p>
    <w:p w14:paraId="1FBEA78E" w14:textId="77777777" w:rsidR="00F86EDE" w:rsidRPr="000D1A16" w:rsidRDefault="00F86EDE" w:rsidP="00F86EDE">
      <w:pPr>
        <w:jc w:val="both"/>
        <w:rPr>
          <w:rFonts w:ascii="Arial" w:hAnsi="Arial" w:cs="Arial"/>
          <w:i/>
          <w:sz w:val="20"/>
          <w:szCs w:val="20"/>
          <w:u w:val="single"/>
        </w:rPr>
      </w:pPr>
      <w:r w:rsidRPr="001C2A86">
        <w:rPr>
          <w:rFonts w:ascii="Arial" w:hAnsi="Arial" w:cs="Arial"/>
          <w:iCs/>
          <w:sz w:val="20"/>
          <w:szCs w:val="20"/>
        </w:rPr>
        <w:t>Los pagos del ISD diferentes a los porcentajes antes mencionados están gravados con el 5% y el pago del ISD que se realicen por las importaciones de bienes y otros no darán derecho a crédito tributario</w:t>
      </w:r>
      <w:r w:rsidRPr="001C2A86">
        <w:rPr>
          <w:rFonts w:ascii="Arial" w:hAnsi="Arial" w:cs="Arial"/>
          <w:i/>
          <w:sz w:val="20"/>
          <w:szCs w:val="20"/>
          <w:u w:val="single"/>
        </w:rPr>
        <w:t>.</w:t>
      </w:r>
    </w:p>
    <w:p w14:paraId="702EA529" w14:textId="77777777" w:rsidR="00F86EDE" w:rsidRDefault="00F86EDE" w:rsidP="00F86EDE">
      <w:pPr>
        <w:autoSpaceDE w:val="0"/>
        <w:autoSpaceDN w:val="0"/>
        <w:adjustRightInd w:val="0"/>
        <w:ind w:right="-143"/>
        <w:jc w:val="both"/>
        <w:rPr>
          <w:rFonts w:ascii="Arial" w:eastAsia="Arial Unicode MS" w:hAnsi="Arial" w:cs="Arial"/>
          <w:b/>
          <w:sz w:val="20"/>
          <w:szCs w:val="20"/>
          <w:u w:val="single"/>
        </w:rPr>
      </w:pPr>
    </w:p>
    <w:p w14:paraId="48830709" w14:textId="77777777" w:rsidR="00F86EDE" w:rsidRDefault="00F86EDE" w:rsidP="00F86EDE">
      <w:pPr>
        <w:autoSpaceDE w:val="0"/>
        <w:autoSpaceDN w:val="0"/>
        <w:adjustRightInd w:val="0"/>
        <w:ind w:right="-143"/>
        <w:jc w:val="both"/>
        <w:rPr>
          <w:rFonts w:ascii="Arial" w:eastAsia="Arial Unicode MS" w:hAnsi="Arial" w:cs="Arial"/>
          <w:b/>
          <w:sz w:val="20"/>
          <w:szCs w:val="20"/>
          <w:u w:val="single"/>
        </w:rPr>
      </w:pPr>
      <w:r>
        <w:rPr>
          <w:rFonts w:ascii="Arial" w:eastAsia="Arial Unicode MS" w:hAnsi="Arial" w:cs="Arial"/>
          <w:b/>
          <w:sz w:val="20"/>
          <w:szCs w:val="20"/>
          <w:u w:val="single"/>
        </w:rPr>
        <w:t>Impuesto al valor agregado IVA</w:t>
      </w:r>
    </w:p>
    <w:p w14:paraId="65B1C8E5" w14:textId="77777777" w:rsidR="00F86EDE" w:rsidRDefault="00F86EDE" w:rsidP="00F86EDE">
      <w:pPr>
        <w:autoSpaceDE w:val="0"/>
        <w:autoSpaceDN w:val="0"/>
        <w:adjustRightInd w:val="0"/>
        <w:ind w:right="-143"/>
        <w:jc w:val="both"/>
        <w:rPr>
          <w:rFonts w:ascii="Arial" w:eastAsia="Arial Unicode MS" w:hAnsi="Arial" w:cs="Arial"/>
          <w:b/>
          <w:sz w:val="20"/>
          <w:szCs w:val="20"/>
          <w:u w:val="single"/>
        </w:rPr>
      </w:pPr>
    </w:p>
    <w:p w14:paraId="7074F738" w14:textId="77777777" w:rsidR="00F86EDE" w:rsidRPr="001C2A86" w:rsidRDefault="00F86EDE" w:rsidP="00F86EDE">
      <w:pPr>
        <w:autoSpaceDE w:val="0"/>
        <w:autoSpaceDN w:val="0"/>
        <w:adjustRightInd w:val="0"/>
        <w:ind w:right="-143"/>
        <w:jc w:val="both"/>
        <w:rPr>
          <w:rFonts w:ascii="Arial" w:eastAsia="Arial Unicode MS" w:hAnsi="Arial" w:cs="Arial"/>
          <w:bCs/>
          <w:sz w:val="20"/>
          <w:szCs w:val="20"/>
        </w:rPr>
      </w:pPr>
      <w:r w:rsidRPr="001C2A86">
        <w:rPr>
          <w:rFonts w:ascii="Arial" w:eastAsia="Arial Unicode MS" w:hAnsi="Arial" w:cs="Arial"/>
          <w:bCs/>
          <w:sz w:val="20"/>
          <w:szCs w:val="20"/>
        </w:rPr>
        <w:t xml:space="preserve">La Ley Orgánica para enfrentar el conflicto armado interno, la crisis social y económica publicada el 12 de marzo del 2024, estableció el incremento del IVA de la tarifa del IVA del 12% al 13%; y, adicionalmente le permite al </w:t>
      </w:r>
      <w:proofErr w:type="gramStart"/>
      <w:r w:rsidRPr="001C2A86">
        <w:rPr>
          <w:rFonts w:ascii="Arial" w:eastAsia="Arial Unicode MS" w:hAnsi="Arial" w:cs="Arial"/>
          <w:bCs/>
          <w:sz w:val="20"/>
          <w:szCs w:val="20"/>
        </w:rPr>
        <w:t>Presidente</w:t>
      </w:r>
      <w:proofErr w:type="gramEnd"/>
      <w:r w:rsidRPr="001C2A86">
        <w:rPr>
          <w:rFonts w:ascii="Arial" w:eastAsia="Arial Unicode MS" w:hAnsi="Arial" w:cs="Arial"/>
          <w:bCs/>
          <w:sz w:val="20"/>
          <w:szCs w:val="20"/>
        </w:rPr>
        <w:t xml:space="preserve"> de la República, previo vía decreto y la aprobación del ente rector de las finanzas públicas, aumente la tarifa hasta el 15%.</w:t>
      </w:r>
    </w:p>
    <w:p w14:paraId="523D0D1D" w14:textId="77777777" w:rsidR="00F86EDE" w:rsidRPr="001C2A86" w:rsidRDefault="00F86EDE" w:rsidP="00F86EDE">
      <w:pPr>
        <w:autoSpaceDE w:val="0"/>
        <w:autoSpaceDN w:val="0"/>
        <w:adjustRightInd w:val="0"/>
        <w:ind w:right="-143"/>
        <w:jc w:val="both"/>
        <w:rPr>
          <w:rFonts w:ascii="Arial" w:eastAsia="Arial Unicode MS" w:hAnsi="Arial" w:cs="Arial"/>
          <w:bCs/>
          <w:sz w:val="20"/>
          <w:szCs w:val="20"/>
        </w:rPr>
      </w:pPr>
    </w:p>
    <w:p w14:paraId="0B2CEF6D" w14:textId="77777777" w:rsidR="00F86EDE" w:rsidRPr="001C2A86" w:rsidRDefault="00F86EDE" w:rsidP="00F86EDE">
      <w:pPr>
        <w:autoSpaceDE w:val="0"/>
        <w:autoSpaceDN w:val="0"/>
        <w:adjustRightInd w:val="0"/>
        <w:ind w:right="-143"/>
        <w:jc w:val="both"/>
        <w:rPr>
          <w:rFonts w:ascii="Arial" w:eastAsia="Arial Unicode MS" w:hAnsi="Arial" w:cs="Arial"/>
          <w:bCs/>
          <w:sz w:val="20"/>
          <w:szCs w:val="20"/>
        </w:rPr>
      </w:pPr>
      <w:r w:rsidRPr="001C2A86">
        <w:rPr>
          <w:rFonts w:ascii="Arial" w:eastAsia="Arial Unicode MS" w:hAnsi="Arial" w:cs="Arial"/>
          <w:bCs/>
          <w:sz w:val="20"/>
          <w:szCs w:val="20"/>
        </w:rPr>
        <w:t>El Decreto Ejecutivo 198 modifico la tarifa general del Impuesto al Valor Agregado - IVA, del 13% al 15%, para el año 2024, a partir del 01 de abril de 2024. En adición establece la tarifa especial del 8% en días feriados y solamente aplica para el sector turístico.</w:t>
      </w:r>
    </w:p>
    <w:p w14:paraId="55E9CC90" w14:textId="77777777" w:rsidR="00F86EDE" w:rsidRPr="001C2A86" w:rsidRDefault="00F86EDE" w:rsidP="00F86EDE">
      <w:pPr>
        <w:autoSpaceDE w:val="0"/>
        <w:autoSpaceDN w:val="0"/>
        <w:adjustRightInd w:val="0"/>
        <w:ind w:right="-143"/>
        <w:jc w:val="both"/>
        <w:rPr>
          <w:rFonts w:ascii="Arial" w:eastAsia="Arial Unicode MS" w:hAnsi="Arial" w:cs="Arial"/>
          <w:bCs/>
          <w:sz w:val="20"/>
          <w:szCs w:val="20"/>
        </w:rPr>
      </w:pPr>
    </w:p>
    <w:p w14:paraId="05599159" w14:textId="77777777" w:rsidR="00F86EDE" w:rsidRPr="001C2A86" w:rsidRDefault="00F86EDE" w:rsidP="00F86EDE">
      <w:pPr>
        <w:autoSpaceDE w:val="0"/>
        <w:autoSpaceDN w:val="0"/>
        <w:adjustRightInd w:val="0"/>
        <w:ind w:right="-143"/>
        <w:jc w:val="both"/>
        <w:rPr>
          <w:rFonts w:ascii="Arial" w:eastAsia="Arial Unicode MS" w:hAnsi="Arial" w:cs="Arial"/>
          <w:bCs/>
          <w:sz w:val="20"/>
          <w:szCs w:val="20"/>
        </w:rPr>
      </w:pPr>
      <w:r w:rsidRPr="001C2A86">
        <w:rPr>
          <w:rFonts w:ascii="Arial" w:eastAsia="Arial Unicode MS" w:hAnsi="Arial" w:cs="Arial"/>
          <w:bCs/>
          <w:sz w:val="20"/>
          <w:szCs w:val="20"/>
        </w:rPr>
        <w:t>Adicionalmente el 28 de marzo de 2024, el Servicio de Rentas Internas – SRI emitió la Resolución No. NAC-DGERCGC24-0013, mediante la cual se establece el listado de materiales de construcción gravados con tarifa 5% de Impuesto al Valor Agregado – IVA.</w:t>
      </w:r>
    </w:p>
    <w:p w14:paraId="1DED0E20" w14:textId="77777777" w:rsidR="00710E2D" w:rsidRPr="000D1A16" w:rsidRDefault="00710E2D" w:rsidP="00B0429A">
      <w:pPr>
        <w:jc w:val="both"/>
        <w:rPr>
          <w:rFonts w:ascii="Arial" w:hAnsi="Arial" w:cs="Arial"/>
          <w:b/>
          <w:sz w:val="20"/>
          <w:szCs w:val="20"/>
        </w:rPr>
      </w:pPr>
      <w:r w:rsidRPr="000D1A16">
        <w:rPr>
          <w:rFonts w:ascii="Arial" w:hAnsi="Arial" w:cs="Arial"/>
          <w:b/>
          <w:sz w:val="20"/>
          <w:szCs w:val="20"/>
        </w:rPr>
        <w:lastRenderedPageBreak/>
        <w:t>Impuesto diferido</w:t>
      </w:r>
    </w:p>
    <w:p w14:paraId="2A4397A6" w14:textId="77777777" w:rsidR="00710E2D" w:rsidRPr="000D1A16" w:rsidRDefault="00710E2D" w:rsidP="00710E2D">
      <w:pPr>
        <w:tabs>
          <w:tab w:val="left" w:pos="567"/>
        </w:tabs>
        <w:rPr>
          <w:rFonts w:ascii="Arial" w:hAnsi="Arial" w:cs="Arial"/>
          <w:b/>
          <w:bCs/>
          <w:sz w:val="20"/>
          <w:szCs w:val="20"/>
        </w:rPr>
      </w:pPr>
    </w:p>
    <w:p w14:paraId="6BD5C8BF" w14:textId="070DC76E" w:rsidR="00311476" w:rsidRPr="000D1A16" w:rsidRDefault="00311476" w:rsidP="00311476">
      <w:pPr>
        <w:rPr>
          <w:rFonts w:ascii="Arial" w:hAnsi="Arial" w:cs="Arial"/>
          <w:sz w:val="20"/>
          <w:szCs w:val="20"/>
        </w:rPr>
      </w:pPr>
      <w:r w:rsidRPr="000D1A16">
        <w:rPr>
          <w:rFonts w:ascii="Arial" w:hAnsi="Arial" w:cs="Arial"/>
          <w:bCs/>
          <w:sz w:val="20"/>
          <w:szCs w:val="20"/>
        </w:rPr>
        <w:t>Un resumen de las partidas e im</w:t>
      </w:r>
      <w:r w:rsidRPr="000D1A16">
        <w:rPr>
          <w:rFonts w:ascii="Arial" w:hAnsi="Arial" w:cs="Arial"/>
          <w:sz w:val="20"/>
          <w:szCs w:val="20"/>
        </w:rPr>
        <w:t>puestos difer</w:t>
      </w:r>
      <w:r>
        <w:rPr>
          <w:rFonts w:ascii="Arial" w:hAnsi="Arial" w:cs="Arial"/>
          <w:sz w:val="20"/>
          <w:szCs w:val="20"/>
        </w:rPr>
        <w:t xml:space="preserve">idos al 31 de diciembre del </w:t>
      </w:r>
      <w:r w:rsidR="00C03AB5">
        <w:rPr>
          <w:rFonts w:ascii="Arial" w:hAnsi="Arial" w:cs="Arial"/>
          <w:sz w:val="20"/>
          <w:szCs w:val="20"/>
        </w:rPr>
        <w:t>2024</w:t>
      </w:r>
      <w:r>
        <w:rPr>
          <w:rFonts w:ascii="Arial" w:hAnsi="Arial" w:cs="Arial"/>
          <w:sz w:val="20"/>
          <w:szCs w:val="20"/>
        </w:rPr>
        <w:t xml:space="preserve"> y </w:t>
      </w:r>
      <w:r w:rsidR="00C03AB5">
        <w:rPr>
          <w:rFonts w:ascii="Arial" w:hAnsi="Arial" w:cs="Arial"/>
          <w:sz w:val="20"/>
          <w:szCs w:val="20"/>
        </w:rPr>
        <w:t>2023</w:t>
      </w:r>
      <w:r w:rsidRPr="000D1A16">
        <w:rPr>
          <w:rFonts w:ascii="Arial" w:hAnsi="Arial" w:cs="Arial"/>
          <w:sz w:val="20"/>
          <w:szCs w:val="20"/>
        </w:rPr>
        <w:t xml:space="preserve"> es como sigue:</w:t>
      </w:r>
    </w:p>
    <w:p w14:paraId="038347AB" w14:textId="77777777" w:rsidR="00311476" w:rsidRDefault="00311476" w:rsidP="00311476">
      <w:pPr>
        <w:rPr>
          <w:rFonts w:ascii="Arial" w:hAnsi="Arial" w:cs="Arial"/>
          <w:sz w:val="20"/>
          <w:szCs w:val="20"/>
        </w:rPr>
      </w:pPr>
    </w:p>
    <w:bookmarkStart w:id="123" w:name="_MON_1649262854"/>
    <w:bookmarkEnd w:id="123"/>
    <w:p w14:paraId="1B3200ED" w14:textId="5DCDCC6B" w:rsidR="00311476" w:rsidRDefault="00F86EDE" w:rsidP="00311476">
      <w:pPr>
        <w:jc w:val="both"/>
        <w:rPr>
          <w:rFonts w:ascii="Arial" w:eastAsia="Arial Unicode MS" w:hAnsi="Arial" w:cs="Arial"/>
          <w:sz w:val="20"/>
          <w:szCs w:val="20"/>
        </w:rPr>
      </w:pPr>
      <w:r w:rsidRPr="000D1A16">
        <w:rPr>
          <w:rFonts w:ascii="Arial" w:eastAsia="Arial Unicode MS" w:hAnsi="Arial" w:cs="Arial"/>
          <w:sz w:val="20"/>
          <w:szCs w:val="20"/>
        </w:rPr>
        <w:object w:dxaOrig="11204" w:dyaOrig="1129" w14:anchorId="685A50AC">
          <v:shape id="_x0000_i1117" type="#_x0000_t75" style="width:474.6pt;height:59.4pt" o:ole="">
            <v:imagedata r:id="rId38" o:title=""/>
          </v:shape>
          <o:OLEObject Type="Embed" ProgID="Excel.Sheet.12" ShapeID="_x0000_i1117" DrawAspect="Content" ObjectID="_1807083702" r:id="rId39"/>
        </w:object>
      </w:r>
    </w:p>
    <w:p w14:paraId="3554B5B0" w14:textId="75D30A5C" w:rsidR="00311476" w:rsidRPr="000D1A16" w:rsidRDefault="00311476" w:rsidP="00311476">
      <w:pPr>
        <w:jc w:val="both"/>
        <w:rPr>
          <w:rFonts w:ascii="Arial" w:eastAsia="Arial Unicode MS" w:hAnsi="Arial" w:cs="Arial"/>
          <w:sz w:val="20"/>
          <w:szCs w:val="20"/>
        </w:rPr>
      </w:pPr>
      <w:r w:rsidRPr="000D1A16">
        <w:rPr>
          <w:rFonts w:ascii="Arial" w:eastAsia="Arial Unicode MS" w:hAnsi="Arial" w:cs="Arial"/>
          <w:sz w:val="20"/>
          <w:szCs w:val="20"/>
        </w:rPr>
        <w:t xml:space="preserve">Para el cálculo de impuesto diferido se ha considerado la tasa del </w:t>
      </w:r>
      <w:r>
        <w:rPr>
          <w:rFonts w:ascii="Arial" w:eastAsia="Arial Unicode MS" w:hAnsi="Arial" w:cs="Arial"/>
          <w:sz w:val="20"/>
          <w:szCs w:val="20"/>
        </w:rPr>
        <w:t xml:space="preserve">22% para el </w:t>
      </w:r>
      <w:r w:rsidR="00C03AB5">
        <w:rPr>
          <w:rFonts w:ascii="Arial" w:eastAsia="Arial Unicode MS" w:hAnsi="Arial" w:cs="Arial"/>
          <w:sz w:val="20"/>
          <w:szCs w:val="20"/>
        </w:rPr>
        <w:t>2024</w:t>
      </w:r>
      <w:r>
        <w:rPr>
          <w:rFonts w:ascii="Arial" w:eastAsia="Arial Unicode MS" w:hAnsi="Arial" w:cs="Arial"/>
          <w:sz w:val="20"/>
          <w:szCs w:val="20"/>
        </w:rPr>
        <w:t xml:space="preserve"> y </w:t>
      </w:r>
      <w:r w:rsidR="00C03AB5">
        <w:rPr>
          <w:rFonts w:ascii="Arial" w:eastAsia="Arial Unicode MS" w:hAnsi="Arial" w:cs="Arial"/>
          <w:sz w:val="20"/>
          <w:szCs w:val="20"/>
        </w:rPr>
        <w:t>2023</w:t>
      </w:r>
      <w:r>
        <w:rPr>
          <w:rFonts w:ascii="Arial" w:eastAsia="Arial Unicode MS" w:hAnsi="Arial" w:cs="Arial"/>
          <w:sz w:val="20"/>
          <w:szCs w:val="20"/>
        </w:rPr>
        <w:t xml:space="preserve"> </w:t>
      </w:r>
      <w:r w:rsidRPr="000D1A16">
        <w:rPr>
          <w:rFonts w:ascii="Arial" w:eastAsia="Arial Unicode MS" w:hAnsi="Arial" w:cs="Arial"/>
          <w:sz w:val="20"/>
          <w:szCs w:val="20"/>
        </w:rPr>
        <w:t>respectivamente.</w:t>
      </w:r>
    </w:p>
    <w:p w14:paraId="0DCADF6E" w14:textId="77777777" w:rsidR="00311476" w:rsidRPr="000D1A16" w:rsidRDefault="00311476" w:rsidP="00311476">
      <w:pPr>
        <w:autoSpaceDE w:val="0"/>
        <w:autoSpaceDN w:val="0"/>
        <w:adjustRightInd w:val="0"/>
        <w:ind w:right="-143"/>
        <w:jc w:val="both"/>
        <w:rPr>
          <w:rFonts w:ascii="Arial" w:eastAsia="Arial Unicode MS" w:hAnsi="Arial" w:cs="Arial"/>
          <w:sz w:val="20"/>
          <w:szCs w:val="20"/>
        </w:rPr>
      </w:pPr>
    </w:p>
    <w:p w14:paraId="3AEA452B" w14:textId="344670D2" w:rsidR="00311476" w:rsidRPr="00707BA2" w:rsidRDefault="00311476" w:rsidP="00311476">
      <w:pPr>
        <w:autoSpaceDE w:val="0"/>
        <w:autoSpaceDN w:val="0"/>
        <w:adjustRightInd w:val="0"/>
        <w:ind w:right="-143"/>
        <w:jc w:val="both"/>
        <w:rPr>
          <w:rFonts w:ascii="Arial" w:eastAsia="Arial Unicode MS" w:hAnsi="Arial" w:cs="Arial"/>
          <w:sz w:val="20"/>
          <w:szCs w:val="20"/>
        </w:rPr>
      </w:pPr>
      <w:r w:rsidRPr="00707BA2">
        <w:rPr>
          <w:rFonts w:ascii="Arial" w:eastAsia="Arial Unicode MS" w:hAnsi="Arial" w:cs="Arial"/>
          <w:sz w:val="20"/>
          <w:szCs w:val="20"/>
        </w:rPr>
        <w:t xml:space="preserve">El cálculo de impuesto diferido es en base a la tasa del 25% para el </w:t>
      </w:r>
      <w:r w:rsidR="00C03AB5">
        <w:rPr>
          <w:rFonts w:ascii="Arial" w:eastAsia="Arial Unicode MS" w:hAnsi="Arial" w:cs="Arial"/>
          <w:sz w:val="20"/>
          <w:szCs w:val="20"/>
        </w:rPr>
        <w:t>2024</w:t>
      </w:r>
      <w:r w:rsidRPr="00707BA2">
        <w:rPr>
          <w:rFonts w:ascii="Arial" w:eastAsia="Arial Unicode MS" w:hAnsi="Arial" w:cs="Arial"/>
          <w:sz w:val="20"/>
          <w:szCs w:val="20"/>
        </w:rPr>
        <w:t xml:space="preserve"> y </w:t>
      </w:r>
      <w:r w:rsidR="00C03AB5">
        <w:rPr>
          <w:rFonts w:ascii="Arial" w:eastAsia="Arial Unicode MS" w:hAnsi="Arial" w:cs="Arial"/>
          <w:sz w:val="20"/>
          <w:szCs w:val="20"/>
        </w:rPr>
        <w:t>2023</w:t>
      </w:r>
      <w:r w:rsidRPr="00707BA2">
        <w:rPr>
          <w:rFonts w:ascii="Arial" w:eastAsia="Arial Unicode MS" w:hAnsi="Arial" w:cs="Arial"/>
          <w:sz w:val="20"/>
          <w:szCs w:val="20"/>
        </w:rPr>
        <w:t xml:space="preserve"> respectivamente y el origen y fechas estimadas para la realización son como sigue:</w:t>
      </w:r>
    </w:p>
    <w:p w14:paraId="486C6407" w14:textId="77777777" w:rsidR="00311476" w:rsidRPr="00707BA2" w:rsidRDefault="00311476" w:rsidP="00311476">
      <w:pPr>
        <w:autoSpaceDE w:val="0"/>
        <w:autoSpaceDN w:val="0"/>
        <w:adjustRightInd w:val="0"/>
        <w:ind w:right="-143"/>
        <w:jc w:val="both"/>
        <w:rPr>
          <w:rFonts w:ascii="Arial" w:eastAsia="Arial Unicode MS" w:hAnsi="Arial" w:cs="Arial"/>
          <w:noProof/>
          <w:sz w:val="20"/>
          <w:szCs w:val="20"/>
          <w:lang w:eastAsia="es-EC"/>
        </w:rPr>
      </w:pPr>
    </w:p>
    <w:p w14:paraId="01463F7B" w14:textId="4E38E504" w:rsidR="00311476" w:rsidRPr="00707BA2" w:rsidRDefault="00F86EDE" w:rsidP="00311476">
      <w:pPr>
        <w:pStyle w:val="Prrafodelista"/>
        <w:numPr>
          <w:ilvl w:val="0"/>
          <w:numId w:val="39"/>
        </w:numPr>
        <w:autoSpaceDE w:val="0"/>
        <w:autoSpaceDN w:val="0"/>
        <w:adjustRightInd w:val="0"/>
        <w:spacing w:before="0" w:after="0"/>
        <w:ind w:left="567" w:right="-143" w:hanging="567"/>
        <w:rPr>
          <w:rFonts w:ascii="Arial" w:eastAsia="Arial Unicode MS" w:hAnsi="Arial" w:cs="Arial"/>
          <w:sz w:val="20"/>
          <w:szCs w:val="20"/>
        </w:rPr>
      </w:pPr>
      <w:r>
        <w:rPr>
          <w:rFonts w:ascii="Arial" w:eastAsia="Arial Unicode MS" w:hAnsi="Arial" w:cs="Arial"/>
          <w:sz w:val="20"/>
          <w:szCs w:val="20"/>
        </w:rPr>
        <w:t>Reconocimiento de ingresos facturados por la prestación de servicios que fueron facturados en su totalidad y que los servicios se prestaran a lo largo del tiempo por 3 años.</w:t>
      </w:r>
    </w:p>
    <w:p w14:paraId="7EFE0A7A" w14:textId="77777777" w:rsidR="00311476" w:rsidRPr="00707BA2" w:rsidRDefault="00311476" w:rsidP="00311476">
      <w:pPr>
        <w:pStyle w:val="Prrafodelista"/>
        <w:autoSpaceDE w:val="0"/>
        <w:autoSpaceDN w:val="0"/>
        <w:adjustRightInd w:val="0"/>
        <w:spacing w:before="0" w:after="0"/>
        <w:ind w:left="567" w:right="-143"/>
        <w:rPr>
          <w:rFonts w:ascii="Arial" w:eastAsia="Arial Unicode MS" w:hAnsi="Arial" w:cs="Arial"/>
          <w:sz w:val="20"/>
          <w:szCs w:val="20"/>
        </w:rPr>
      </w:pPr>
    </w:p>
    <w:p w14:paraId="1B453AA2" w14:textId="48C9CD76" w:rsidR="00311476" w:rsidRPr="00707BA2" w:rsidRDefault="00311476" w:rsidP="00311476">
      <w:pPr>
        <w:tabs>
          <w:tab w:val="left" w:pos="567"/>
        </w:tabs>
        <w:autoSpaceDE w:val="0"/>
        <w:autoSpaceDN w:val="0"/>
        <w:adjustRightInd w:val="0"/>
        <w:ind w:right="-143"/>
        <w:rPr>
          <w:rFonts w:ascii="Arial" w:hAnsi="Arial" w:cs="Arial"/>
          <w:sz w:val="20"/>
          <w:szCs w:val="20"/>
          <w:lang w:eastAsia="es-EC"/>
        </w:rPr>
      </w:pPr>
      <w:r w:rsidRPr="00707BA2">
        <w:rPr>
          <w:rFonts w:ascii="Arial" w:hAnsi="Arial" w:cs="Arial"/>
          <w:sz w:val="20"/>
          <w:szCs w:val="20"/>
          <w:lang w:eastAsia="es-EC"/>
        </w:rPr>
        <w:t xml:space="preserve">En el año </w:t>
      </w:r>
      <w:r w:rsidR="00C03AB5">
        <w:rPr>
          <w:rFonts w:ascii="Arial" w:hAnsi="Arial" w:cs="Arial"/>
          <w:sz w:val="20"/>
          <w:szCs w:val="20"/>
          <w:lang w:eastAsia="es-EC"/>
        </w:rPr>
        <w:t>2024</w:t>
      </w:r>
      <w:r w:rsidRPr="00707BA2">
        <w:rPr>
          <w:rFonts w:ascii="Arial" w:hAnsi="Arial" w:cs="Arial"/>
          <w:sz w:val="20"/>
          <w:szCs w:val="20"/>
          <w:lang w:eastAsia="es-EC"/>
        </w:rPr>
        <w:t xml:space="preserve"> se incorporó para el cálculo del impuesto diferido lo siguiente:</w:t>
      </w:r>
    </w:p>
    <w:p w14:paraId="49E71C83" w14:textId="77777777" w:rsidR="00311476" w:rsidRPr="00707BA2" w:rsidRDefault="00311476" w:rsidP="00311476">
      <w:pPr>
        <w:tabs>
          <w:tab w:val="left" w:pos="567"/>
        </w:tabs>
        <w:autoSpaceDE w:val="0"/>
        <w:autoSpaceDN w:val="0"/>
        <w:adjustRightInd w:val="0"/>
        <w:ind w:right="-143"/>
        <w:rPr>
          <w:rFonts w:ascii="Arial" w:hAnsi="Arial" w:cs="Arial"/>
          <w:sz w:val="20"/>
          <w:szCs w:val="20"/>
          <w:lang w:eastAsia="es-EC"/>
        </w:rPr>
      </w:pPr>
    </w:p>
    <w:p w14:paraId="423DA841" w14:textId="77777777" w:rsidR="00311476" w:rsidRDefault="00311476" w:rsidP="00311476">
      <w:pPr>
        <w:pStyle w:val="Prrafodelista"/>
        <w:numPr>
          <w:ilvl w:val="0"/>
          <w:numId w:val="40"/>
        </w:numPr>
        <w:tabs>
          <w:tab w:val="left" w:pos="426"/>
        </w:tabs>
        <w:autoSpaceDE w:val="0"/>
        <w:autoSpaceDN w:val="0"/>
        <w:adjustRightInd w:val="0"/>
        <w:spacing w:before="0" w:after="0"/>
        <w:ind w:left="425" w:hanging="425"/>
        <w:rPr>
          <w:rFonts w:ascii="Arial" w:eastAsiaTheme="minorHAnsi" w:hAnsi="Arial" w:cs="Arial"/>
          <w:sz w:val="20"/>
          <w:szCs w:val="20"/>
          <w:lang w:eastAsia="en-US"/>
        </w:rPr>
      </w:pPr>
      <w:r w:rsidRPr="00707BA2">
        <w:rPr>
          <w:rFonts w:ascii="Arial" w:eastAsiaTheme="minorHAnsi" w:hAnsi="Arial" w:cs="Arial"/>
          <w:sz w:val="20"/>
          <w:szCs w:val="20"/>
          <w:lang w:eastAsia="en-US"/>
        </w:rPr>
        <w:t>El valor por deterioro de los créditos incobrables, que supera los límites previstos en la Ley y Reglamento, serán no deducibles en el año en el que se los registra; sin embargo, se reconocerá un impuesto diferido por este concepto, el cual será utilizado en el ejercicio fiscal en el cual se cumplan los plazos y condiciones previstos para su eliminación.</w:t>
      </w:r>
    </w:p>
    <w:p w14:paraId="526C9736" w14:textId="77777777" w:rsidR="00311476" w:rsidRPr="00707BA2" w:rsidRDefault="00311476" w:rsidP="00311476">
      <w:pPr>
        <w:pStyle w:val="Prrafodelista"/>
        <w:tabs>
          <w:tab w:val="left" w:pos="426"/>
        </w:tabs>
        <w:autoSpaceDE w:val="0"/>
        <w:autoSpaceDN w:val="0"/>
        <w:adjustRightInd w:val="0"/>
        <w:spacing w:before="0" w:after="0"/>
        <w:ind w:left="425"/>
        <w:rPr>
          <w:rFonts w:ascii="Arial" w:eastAsiaTheme="minorHAnsi" w:hAnsi="Arial" w:cs="Arial"/>
          <w:sz w:val="20"/>
          <w:szCs w:val="20"/>
          <w:lang w:eastAsia="en-US"/>
        </w:rPr>
      </w:pPr>
    </w:p>
    <w:p w14:paraId="2AF1C50A" w14:textId="142323F4" w:rsidR="00311476" w:rsidRPr="00707BA2" w:rsidRDefault="00311476" w:rsidP="00311476">
      <w:pPr>
        <w:pStyle w:val="Prrafodelista"/>
        <w:numPr>
          <w:ilvl w:val="0"/>
          <w:numId w:val="40"/>
        </w:numPr>
        <w:tabs>
          <w:tab w:val="left" w:pos="426"/>
        </w:tabs>
        <w:autoSpaceDE w:val="0"/>
        <w:autoSpaceDN w:val="0"/>
        <w:adjustRightInd w:val="0"/>
        <w:spacing w:before="0" w:after="0"/>
        <w:ind w:left="425" w:hanging="425"/>
        <w:rPr>
          <w:rFonts w:ascii="Arial" w:eastAsiaTheme="minorHAnsi" w:hAnsi="Arial" w:cs="Arial"/>
          <w:sz w:val="20"/>
          <w:szCs w:val="20"/>
          <w:lang w:eastAsia="en-US"/>
        </w:rPr>
      </w:pPr>
      <w:r w:rsidRPr="00707BA2">
        <w:rPr>
          <w:rFonts w:ascii="Arial" w:eastAsiaTheme="minorHAnsi" w:hAnsi="Arial" w:cs="Arial"/>
          <w:sz w:val="20"/>
          <w:szCs w:val="20"/>
          <w:lang w:eastAsia="en-US"/>
        </w:rPr>
        <w:t xml:space="preserve">La diferencia entre la depreciación financiera de propiedad, planta y equipo y los límites de deducibilidad previsto en la normativa, será un gasto no deducible; el cual genera un impuesto diferido por este concepto el cual deberá ser utilizado a partir del ejercicio fiscal siguiente al que finalice la vida útil establecida financieramente”. Únicamente se reconoce el impuesto diferido sobre los activos adquiridos a partir del ejercicio fiscal </w:t>
      </w:r>
      <w:r w:rsidR="00C03AB5">
        <w:rPr>
          <w:rFonts w:ascii="Arial" w:eastAsiaTheme="minorHAnsi" w:hAnsi="Arial" w:cs="Arial"/>
          <w:sz w:val="20"/>
          <w:szCs w:val="20"/>
          <w:lang w:eastAsia="en-US"/>
        </w:rPr>
        <w:t>2024</w:t>
      </w:r>
      <w:r w:rsidRPr="00707BA2">
        <w:rPr>
          <w:rFonts w:ascii="Arial" w:eastAsiaTheme="minorHAnsi" w:hAnsi="Arial" w:cs="Arial"/>
          <w:sz w:val="20"/>
          <w:szCs w:val="20"/>
          <w:lang w:eastAsia="en-US"/>
        </w:rPr>
        <w:t>.</w:t>
      </w:r>
    </w:p>
    <w:p w14:paraId="1820E2FB" w14:textId="77777777" w:rsidR="00311476" w:rsidRPr="00707BA2" w:rsidRDefault="00311476" w:rsidP="00311476">
      <w:pPr>
        <w:pStyle w:val="Prrafodelista"/>
        <w:tabs>
          <w:tab w:val="left" w:pos="426"/>
        </w:tabs>
        <w:autoSpaceDE w:val="0"/>
        <w:autoSpaceDN w:val="0"/>
        <w:adjustRightInd w:val="0"/>
        <w:spacing w:before="0" w:after="0"/>
        <w:ind w:left="425"/>
        <w:rPr>
          <w:rFonts w:ascii="Arial" w:eastAsiaTheme="minorHAnsi" w:hAnsi="Arial" w:cs="Arial"/>
          <w:sz w:val="20"/>
          <w:szCs w:val="20"/>
          <w:lang w:eastAsia="en-US"/>
        </w:rPr>
      </w:pPr>
    </w:p>
    <w:p w14:paraId="40B08290" w14:textId="77777777" w:rsidR="00311476" w:rsidRDefault="00311476" w:rsidP="00311476">
      <w:pPr>
        <w:pStyle w:val="Prrafodelista"/>
        <w:numPr>
          <w:ilvl w:val="0"/>
          <w:numId w:val="40"/>
        </w:numPr>
        <w:tabs>
          <w:tab w:val="left" w:pos="426"/>
        </w:tabs>
        <w:autoSpaceDE w:val="0"/>
        <w:autoSpaceDN w:val="0"/>
        <w:adjustRightInd w:val="0"/>
        <w:spacing w:before="0" w:after="0"/>
        <w:ind w:left="425" w:hanging="425"/>
        <w:rPr>
          <w:rFonts w:ascii="Arial" w:eastAsiaTheme="minorHAnsi" w:hAnsi="Arial" w:cs="Arial"/>
          <w:sz w:val="20"/>
          <w:szCs w:val="20"/>
          <w:lang w:eastAsia="en-US"/>
        </w:rPr>
      </w:pPr>
      <w:r w:rsidRPr="00707BA2">
        <w:rPr>
          <w:rFonts w:ascii="Arial" w:eastAsiaTheme="minorHAnsi" w:hAnsi="Arial" w:cs="Arial"/>
          <w:sz w:val="20"/>
          <w:szCs w:val="20"/>
          <w:lang w:eastAsia="en-US"/>
        </w:rPr>
        <w:t xml:space="preserve">El plazo de conservación de los documentos que sustenten operaciones por las cuales la norma tributaria permita la amortización o depreciación, se contará a partir del período fiscal en el cual finalizó el uso de la deducibilidad del gasto. Se entenderá cumplida la obligación cuando el contribuyente haya conservado el sustento de manera física o electrónica. </w:t>
      </w:r>
    </w:p>
    <w:p w14:paraId="4E8D9DD0" w14:textId="77777777" w:rsidR="00311476" w:rsidRPr="008C3DB0" w:rsidRDefault="00311476" w:rsidP="00311476">
      <w:pPr>
        <w:tabs>
          <w:tab w:val="left" w:pos="426"/>
        </w:tabs>
        <w:autoSpaceDE w:val="0"/>
        <w:autoSpaceDN w:val="0"/>
        <w:adjustRightInd w:val="0"/>
        <w:rPr>
          <w:rFonts w:ascii="Arial" w:eastAsiaTheme="minorHAnsi" w:hAnsi="Arial" w:cs="Arial"/>
          <w:sz w:val="20"/>
          <w:szCs w:val="20"/>
          <w:lang w:eastAsia="en-US"/>
        </w:rPr>
      </w:pPr>
    </w:p>
    <w:p w14:paraId="29EC03B0" w14:textId="77777777" w:rsidR="00311476" w:rsidRPr="00707BA2" w:rsidRDefault="00311476" w:rsidP="00311476">
      <w:pPr>
        <w:pStyle w:val="Prrafodelista"/>
        <w:numPr>
          <w:ilvl w:val="0"/>
          <w:numId w:val="40"/>
        </w:numPr>
        <w:tabs>
          <w:tab w:val="left" w:pos="426"/>
        </w:tabs>
        <w:autoSpaceDE w:val="0"/>
        <w:autoSpaceDN w:val="0"/>
        <w:adjustRightInd w:val="0"/>
        <w:spacing w:before="0" w:after="0"/>
        <w:ind w:left="425" w:hanging="425"/>
        <w:rPr>
          <w:rFonts w:ascii="Arial" w:eastAsiaTheme="minorHAnsi" w:hAnsi="Arial" w:cs="Arial"/>
          <w:sz w:val="20"/>
          <w:szCs w:val="20"/>
          <w:lang w:eastAsia="en-US"/>
        </w:rPr>
      </w:pPr>
      <w:r w:rsidRPr="00707BA2">
        <w:rPr>
          <w:rFonts w:ascii="Arial" w:eastAsiaTheme="minorHAnsi" w:hAnsi="Arial" w:cs="Arial"/>
          <w:sz w:val="20"/>
          <w:szCs w:val="20"/>
          <w:lang w:eastAsia="en-US"/>
        </w:rPr>
        <w:t>En el cálculo de la reducción de la tarifa de impuesto a la renta por el desarrollo de nuevas inversiones, cuando no sea posible mantener un centro de costos. La aplicación de la reducción especial de hasta los cinco puntos porcentuales (5%) del Impuesto a la Renta por la suscripción de Contratos de Inversión, se utilizará la tarifa general de impuesto a la renta para sociedades aplicable al ejercicio fiscal en el que se vaya a hacer uso del beneficio.</w:t>
      </w:r>
    </w:p>
    <w:p w14:paraId="5E564995" w14:textId="77777777" w:rsidR="00311476" w:rsidRPr="00707BA2" w:rsidRDefault="00311476" w:rsidP="00311476">
      <w:pPr>
        <w:autoSpaceDE w:val="0"/>
        <w:autoSpaceDN w:val="0"/>
        <w:adjustRightInd w:val="0"/>
        <w:ind w:left="426" w:hanging="426"/>
        <w:jc w:val="both"/>
        <w:rPr>
          <w:rFonts w:ascii="Arial" w:eastAsiaTheme="minorHAnsi" w:hAnsi="Arial" w:cs="Arial"/>
          <w:sz w:val="20"/>
          <w:szCs w:val="20"/>
          <w:lang w:val="es-EC" w:eastAsia="en-US"/>
        </w:rPr>
      </w:pPr>
    </w:p>
    <w:p w14:paraId="2F51C062" w14:textId="77777777" w:rsidR="00311476" w:rsidRPr="00707BA2" w:rsidRDefault="00311476" w:rsidP="00311476">
      <w:pPr>
        <w:autoSpaceDE w:val="0"/>
        <w:autoSpaceDN w:val="0"/>
        <w:adjustRightInd w:val="0"/>
        <w:ind w:left="426"/>
        <w:jc w:val="both"/>
        <w:rPr>
          <w:rFonts w:ascii="Arial" w:eastAsiaTheme="minorHAnsi" w:hAnsi="Arial" w:cs="Arial"/>
          <w:sz w:val="20"/>
          <w:szCs w:val="20"/>
          <w:lang w:val="es-EC" w:eastAsia="en-US"/>
        </w:rPr>
      </w:pPr>
      <w:r w:rsidRPr="00707BA2">
        <w:rPr>
          <w:rFonts w:ascii="Arial" w:eastAsiaTheme="minorHAnsi" w:hAnsi="Arial" w:cs="Arial"/>
          <w:sz w:val="20"/>
          <w:szCs w:val="20"/>
          <w:lang w:val="es-EC" w:eastAsia="en-US"/>
        </w:rPr>
        <w:t xml:space="preserve">Cuando la tarifa de impuesto a la renta que le corresponde aplicar al contribuyente sea superior a la tarifa general de impuesto a la renta de sociedades, la reducción especial se deberá aplicar sobre dicha tarifa. En el contrato de inversión se determinarán los puntos porcentuales de reducción a los que tendrá derecho el contribuyente, además de determinar la imposibilidad o no de mantener un centro de costos. En caso de determinarse la imposibilidad de mantener un centro de costos, el contribuyente podrá aplicar la tarifa de impuesto a la renta reducida sobre la totalidad de la base imponible. La reducción de todos los beneficios tributarios acumulados durante el período de la inversión no excederá en ningún caso el monto de la inversión o el plazo </w:t>
      </w:r>
      <w:r w:rsidRPr="00707BA2">
        <w:rPr>
          <w:rFonts w:ascii="Arial" w:eastAsiaTheme="minorHAnsi" w:hAnsi="Arial" w:cs="Arial"/>
          <w:sz w:val="20"/>
          <w:szCs w:val="20"/>
          <w:lang w:eastAsia="en-US"/>
        </w:rPr>
        <w:t>del beneficio estipulado en el contrato de inversión y/o su deuda, lo que suceda primero.</w:t>
      </w:r>
    </w:p>
    <w:p w14:paraId="6E4E2E9D" w14:textId="77777777" w:rsidR="00311476" w:rsidRPr="00707BA2" w:rsidRDefault="00311476" w:rsidP="00311476">
      <w:pPr>
        <w:autoSpaceDE w:val="0"/>
        <w:autoSpaceDN w:val="0"/>
        <w:adjustRightInd w:val="0"/>
        <w:ind w:left="426" w:hanging="426"/>
        <w:jc w:val="both"/>
        <w:rPr>
          <w:rFonts w:ascii="Arial" w:eastAsiaTheme="minorHAnsi" w:hAnsi="Arial" w:cs="Arial"/>
          <w:sz w:val="20"/>
          <w:szCs w:val="20"/>
          <w:lang w:val="es-EC" w:eastAsia="en-US"/>
        </w:rPr>
      </w:pPr>
    </w:p>
    <w:p w14:paraId="485F3405" w14:textId="77777777" w:rsidR="00311476" w:rsidRPr="00707BA2" w:rsidRDefault="00311476" w:rsidP="00311476">
      <w:pPr>
        <w:autoSpaceDE w:val="0"/>
        <w:autoSpaceDN w:val="0"/>
        <w:adjustRightInd w:val="0"/>
        <w:jc w:val="both"/>
        <w:rPr>
          <w:rFonts w:ascii="Arial" w:eastAsiaTheme="minorHAnsi" w:hAnsi="Arial" w:cs="Arial"/>
          <w:sz w:val="20"/>
          <w:szCs w:val="20"/>
          <w:lang w:val="es-EC" w:eastAsia="en-US"/>
        </w:rPr>
      </w:pPr>
      <w:r w:rsidRPr="00707BA2">
        <w:rPr>
          <w:rFonts w:ascii="Arial" w:hAnsi="Arial" w:cs="Arial"/>
          <w:sz w:val="20"/>
          <w:szCs w:val="20"/>
          <w:lang w:eastAsia="es-EC"/>
        </w:rPr>
        <w:t xml:space="preserve">Los activos y pasivos por impuestos diferidos pueden ser recuperados o pagados posteriormente a través de la conciliación tributaria, deben ser reconocidos contablemente en el balance general, en la </w:t>
      </w:r>
      <w:r w:rsidRPr="00707BA2">
        <w:rPr>
          <w:rFonts w:ascii="Arial" w:hAnsi="Arial" w:cs="Arial"/>
          <w:sz w:val="20"/>
          <w:szCs w:val="20"/>
          <w:lang w:eastAsia="es-EC"/>
        </w:rPr>
        <w:lastRenderedPageBreak/>
        <w:t xml:space="preserve">cuantía respectiva y en el momento adecuado, respetando las disposiciones tributarias vigentes y en las </w:t>
      </w:r>
      <w:proofErr w:type="spellStart"/>
      <w:r w:rsidRPr="00707BA2">
        <w:rPr>
          <w:rFonts w:ascii="Arial" w:hAnsi="Arial" w:cs="Arial"/>
          <w:sz w:val="20"/>
          <w:szCs w:val="20"/>
          <w:lang w:eastAsia="es-EC"/>
        </w:rPr>
        <w:t>NIIFs</w:t>
      </w:r>
      <w:proofErr w:type="spellEnd"/>
      <w:r w:rsidRPr="00707BA2">
        <w:rPr>
          <w:rFonts w:ascii="Arial" w:hAnsi="Arial" w:cs="Arial"/>
          <w:sz w:val="20"/>
          <w:szCs w:val="20"/>
          <w:lang w:eastAsia="es-EC"/>
        </w:rPr>
        <w:t xml:space="preserve"> mencionadas en la presente resolución según sea el caso.</w:t>
      </w:r>
    </w:p>
    <w:p w14:paraId="3952DF48" w14:textId="77777777" w:rsidR="00AB6457" w:rsidRDefault="00AB6457" w:rsidP="00311476">
      <w:pPr>
        <w:autoSpaceDE w:val="0"/>
        <w:autoSpaceDN w:val="0"/>
        <w:adjustRightInd w:val="0"/>
        <w:ind w:right="-143"/>
        <w:jc w:val="both"/>
        <w:rPr>
          <w:rFonts w:ascii="Arial" w:eastAsia="Arial Unicode MS" w:hAnsi="Arial" w:cs="Arial"/>
          <w:b/>
          <w:sz w:val="20"/>
          <w:szCs w:val="20"/>
          <w:u w:val="single"/>
        </w:rPr>
      </w:pPr>
    </w:p>
    <w:p w14:paraId="075B8EBE" w14:textId="2DFC0B86" w:rsidR="00311476" w:rsidRPr="00707BA2" w:rsidRDefault="00311476" w:rsidP="00311476">
      <w:pPr>
        <w:autoSpaceDE w:val="0"/>
        <w:autoSpaceDN w:val="0"/>
        <w:adjustRightInd w:val="0"/>
        <w:ind w:right="-143"/>
        <w:jc w:val="both"/>
        <w:rPr>
          <w:rFonts w:ascii="Arial" w:eastAsia="Arial Unicode MS" w:hAnsi="Arial" w:cs="Arial"/>
          <w:b/>
          <w:sz w:val="20"/>
          <w:szCs w:val="20"/>
          <w:u w:val="single"/>
        </w:rPr>
      </w:pPr>
      <w:r w:rsidRPr="00707BA2">
        <w:rPr>
          <w:rFonts w:ascii="Arial" w:eastAsia="Arial Unicode MS" w:hAnsi="Arial" w:cs="Arial"/>
          <w:b/>
          <w:sz w:val="20"/>
          <w:szCs w:val="20"/>
          <w:u w:val="single"/>
        </w:rPr>
        <w:t>Revisiones fiscales</w:t>
      </w:r>
    </w:p>
    <w:p w14:paraId="5E7FCA37" w14:textId="77777777" w:rsidR="00311476" w:rsidRPr="00707BA2" w:rsidRDefault="00311476" w:rsidP="00311476">
      <w:pPr>
        <w:jc w:val="both"/>
        <w:rPr>
          <w:rFonts w:ascii="Arial" w:hAnsi="Arial" w:cs="Arial"/>
          <w:sz w:val="20"/>
          <w:szCs w:val="20"/>
        </w:rPr>
      </w:pPr>
    </w:p>
    <w:p w14:paraId="677D8CD9" w14:textId="2B231810" w:rsidR="00311476" w:rsidRPr="00707BA2" w:rsidRDefault="00311476" w:rsidP="00311476">
      <w:pPr>
        <w:jc w:val="both"/>
        <w:rPr>
          <w:rFonts w:ascii="Arial" w:hAnsi="Arial" w:cs="Arial"/>
          <w:sz w:val="20"/>
          <w:szCs w:val="20"/>
        </w:rPr>
      </w:pPr>
      <w:r w:rsidRPr="00707BA2">
        <w:rPr>
          <w:rFonts w:ascii="Arial" w:hAnsi="Arial" w:cs="Arial"/>
          <w:bCs/>
          <w:sz w:val="20"/>
          <w:szCs w:val="20"/>
        </w:rPr>
        <w:t xml:space="preserve">El Servicio de Rentas Internas de acuerdo con disposiciones legales, tiene la facultad de revisar las declaraciones del impuesto a la renta de la Compañía, dentro de los tres años posteriores a partir de la fecha de presentación de la declaración de impuestos. </w:t>
      </w:r>
      <w:r w:rsidRPr="00707BA2">
        <w:rPr>
          <w:rFonts w:ascii="Arial" w:hAnsi="Arial" w:cs="Arial"/>
          <w:sz w:val="20"/>
          <w:szCs w:val="20"/>
        </w:rPr>
        <w:t xml:space="preserve">La Compañía no ha sido revisada hasta el 31 de diciembre del </w:t>
      </w:r>
      <w:r w:rsidR="00C03AB5">
        <w:rPr>
          <w:rFonts w:ascii="Arial" w:hAnsi="Arial" w:cs="Arial"/>
          <w:sz w:val="20"/>
          <w:szCs w:val="20"/>
        </w:rPr>
        <w:t>2024</w:t>
      </w:r>
      <w:r w:rsidRPr="00707BA2">
        <w:rPr>
          <w:rFonts w:ascii="Arial" w:hAnsi="Arial" w:cs="Arial"/>
          <w:sz w:val="20"/>
          <w:szCs w:val="20"/>
        </w:rPr>
        <w:t>.</w:t>
      </w:r>
    </w:p>
    <w:p w14:paraId="5C119B5E" w14:textId="77777777" w:rsidR="002B227F" w:rsidRDefault="002B227F" w:rsidP="008D7017">
      <w:pPr>
        <w:jc w:val="both"/>
        <w:rPr>
          <w:rFonts w:ascii="Arial" w:hAnsi="Arial" w:cs="Arial"/>
          <w:sz w:val="20"/>
          <w:szCs w:val="20"/>
          <w:lang w:val="es-EC"/>
        </w:rPr>
      </w:pPr>
    </w:p>
    <w:p w14:paraId="2A824EE0" w14:textId="085A82CF" w:rsidR="00395DBA" w:rsidRPr="000D1A16" w:rsidRDefault="00F46E34" w:rsidP="008D7017">
      <w:pPr>
        <w:jc w:val="both"/>
        <w:rPr>
          <w:rFonts w:ascii="Arial" w:hAnsi="Arial" w:cs="Arial"/>
          <w:b/>
          <w:sz w:val="20"/>
          <w:szCs w:val="20"/>
        </w:rPr>
      </w:pPr>
      <w:r>
        <w:rPr>
          <w:rFonts w:ascii="Arial" w:hAnsi="Arial" w:cs="Arial"/>
          <w:b/>
          <w:sz w:val="20"/>
          <w:szCs w:val="20"/>
        </w:rPr>
        <w:t xml:space="preserve">NOTA </w:t>
      </w:r>
      <w:r w:rsidR="00F86EDE">
        <w:rPr>
          <w:rFonts w:ascii="Arial" w:hAnsi="Arial" w:cs="Arial"/>
          <w:b/>
          <w:sz w:val="20"/>
          <w:szCs w:val="20"/>
        </w:rPr>
        <w:t>20</w:t>
      </w:r>
      <w:r w:rsidR="00395DBA" w:rsidRPr="00DE5D79">
        <w:rPr>
          <w:rFonts w:ascii="Arial" w:hAnsi="Arial" w:cs="Arial"/>
          <w:b/>
          <w:sz w:val="20"/>
          <w:szCs w:val="20"/>
        </w:rPr>
        <w:t xml:space="preserve"> – </w:t>
      </w:r>
      <w:r w:rsidR="009E34D9" w:rsidRPr="00DE5D79">
        <w:rPr>
          <w:rFonts w:ascii="Arial" w:hAnsi="Arial" w:cs="Arial"/>
          <w:b/>
          <w:sz w:val="20"/>
          <w:szCs w:val="20"/>
        </w:rPr>
        <w:t xml:space="preserve">CUENTAS POR COBRAR Y PAGAR </w:t>
      </w:r>
      <w:r w:rsidR="00395DBA" w:rsidRPr="00DE5D79">
        <w:rPr>
          <w:rFonts w:ascii="Arial" w:hAnsi="Arial" w:cs="Arial"/>
          <w:b/>
          <w:sz w:val="20"/>
          <w:szCs w:val="20"/>
        </w:rPr>
        <w:t>RELACIONADAS</w:t>
      </w:r>
      <w:r w:rsidR="00395DBA" w:rsidRPr="000D1A16">
        <w:rPr>
          <w:rFonts w:ascii="Arial" w:hAnsi="Arial" w:cs="Arial"/>
          <w:b/>
          <w:sz w:val="20"/>
          <w:szCs w:val="20"/>
        </w:rPr>
        <w:t xml:space="preserve"> </w:t>
      </w:r>
    </w:p>
    <w:p w14:paraId="6418A62A" w14:textId="77777777" w:rsidR="00395DBA" w:rsidRPr="000D1A16" w:rsidRDefault="00395DBA" w:rsidP="008D7017">
      <w:pPr>
        <w:pStyle w:val="Sangra3detindependiente"/>
        <w:ind w:left="0" w:firstLine="0"/>
        <w:rPr>
          <w:rFonts w:ascii="Arial" w:hAnsi="Arial" w:cs="Arial"/>
          <w:sz w:val="20"/>
          <w:lang w:val="es-ES"/>
        </w:rPr>
      </w:pPr>
    </w:p>
    <w:p w14:paraId="20AB7B57" w14:textId="69C80F38" w:rsidR="00395DBA" w:rsidRPr="000D1A16" w:rsidRDefault="00395DBA" w:rsidP="008D7017">
      <w:pPr>
        <w:pStyle w:val="Sangra3detindependiente"/>
        <w:ind w:left="0" w:firstLine="0"/>
        <w:rPr>
          <w:rFonts w:ascii="Arial" w:hAnsi="Arial" w:cs="Arial"/>
          <w:sz w:val="20"/>
          <w:lang w:val="es-EC"/>
        </w:rPr>
      </w:pPr>
      <w:r w:rsidRPr="000D1A16">
        <w:rPr>
          <w:rFonts w:ascii="Arial" w:hAnsi="Arial" w:cs="Arial"/>
          <w:sz w:val="20"/>
        </w:rPr>
        <w:t>Las transacciones con partes relacio</w:t>
      </w:r>
      <w:r w:rsidR="00B11D6C" w:rsidRPr="000D1A16">
        <w:rPr>
          <w:rFonts w:ascii="Arial" w:hAnsi="Arial" w:cs="Arial"/>
          <w:sz w:val="20"/>
        </w:rPr>
        <w:t xml:space="preserve">nadas al </w:t>
      </w:r>
      <w:r w:rsidR="00F46E34">
        <w:rPr>
          <w:rFonts w:ascii="Arial" w:hAnsi="Arial" w:cs="Arial"/>
          <w:sz w:val="20"/>
        </w:rPr>
        <w:t xml:space="preserve">31 de diciembre del </w:t>
      </w:r>
      <w:r w:rsidR="00C03AB5">
        <w:rPr>
          <w:rFonts w:ascii="Arial" w:hAnsi="Arial" w:cs="Arial"/>
          <w:sz w:val="20"/>
        </w:rPr>
        <w:t>2024</w:t>
      </w:r>
      <w:r w:rsidR="00F46E34">
        <w:rPr>
          <w:rFonts w:ascii="Arial" w:hAnsi="Arial" w:cs="Arial"/>
          <w:sz w:val="20"/>
        </w:rPr>
        <w:t xml:space="preserve"> y </w:t>
      </w:r>
      <w:r w:rsidR="00C03AB5">
        <w:rPr>
          <w:rFonts w:ascii="Arial" w:hAnsi="Arial" w:cs="Arial"/>
          <w:sz w:val="20"/>
        </w:rPr>
        <w:t>2023</w:t>
      </w:r>
      <w:r w:rsidRPr="000D1A16">
        <w:rPr>
          <w:rFonts w:ascii="Arial" w:hAnsi="Arial" w:cs="Arial"/>
          <w:sz w:val="20"/>
        </w:rPr>
        <w:t xml:space="preserve"> originaron los siguientes saldos en el estado de resultados y son como sigue:</w:t>
      </w:r>
    </w:p>
    <w:p w14:paraId="6DA78987" w14:textId="77777777" w:rsidR="00F46E34" w:rsidRPr="000D1A16" w:rsidRDefault="00F46E34" w:rsidP="00794300">
      <w:pPr>
        <w:pStyle w:val="Sangra3detindependiente"/>
        <w:ind w:left="0" w:firstLine="0"/>
        <w:rPr>
          <w:rFonts w:ascii="Arial" w:hAnsi="Arial" w:cs="Arial"/>
          <w:sz w:val="20"/>
          <w:highlight w:val="yellow"/>
          <w:lang w:val="es-EC"/>
        </w:rPr>
      </w:pPr>
    </w:p>
    <w:p w14:paraId="4F53E07A" w14:textId="77777777" w:rsidR="00794300" w:rsidRPr="000D1A16" w:rsidRDefault="00794300" w:rsidP="00794300">
      <w:pPr>
        <w:tabs>
          <w:tab w:val="left" w:pos="-720"/>
          <w:tab w:val="left" w:pos="567"/>
        </w:tabs>
        <w:suppressAutoHyphens/>
        <w:ind w:left="567" w:hanging="567"/>
        <w:jc w:val="both"/>
        <w:rPr>
          <w:rFonts w:ascii="Arial" w:hAnsi="Arial" w:cs="Arial"/>
          <w:b/>
          <w:sz w:val="20"/>
          <w:szCs w:val="20"/>
        </w:rPr>
      </w:pPr>
      <w:r w:rsidRPr="000D1A16">
        <w:rPr>
          <w:rFonts w:ascii="Arial" w:hAnsi="Arial" w:cs="Arial"/>
          <w:b/>
          <w:sz w:val="20"/>
          <w:szCs w:val="20"/>
        </w:rPr>
        <w:t>a)</w:t>
      </w:r>
      <w:r w:rsidRPr="000D1A16">
        <w:rPr>
          <w:rFonts w:ascii="Arial" w:hAnsi="Arial" w:cs="Arial"/>
          <w:b/>
          <w:sz w:val="20"/>
          <w:szCs w:val="20"/>
        </w:rPr>
        <w:tab/>
        <w:t>Saldos por cobrar y pagar</w:t>
      </w:r>
    </w:p>
    <w:p w14:paraId="5FD77977" w14:textId="77777777" w:rsidR="00794300" w:rsidRPr="000D1A16" w:rsidRDefault="00794300" w:rsidP="00794300">
      <w:pPr>
        <w:tabs>
          <w:tab w:val="left" w:pos="-720"/>
          <w:tab w:val="left" w:pos="567"/>
        </w:tabs>
        <w:suppressAutoHyphens/>
        <w:ind w:left="567" w:hanging="567"/>
        <w:jc w:val="both"/>
        <w:rPr>
          <w:rFonts w:ascii="Arial" w:hAnsi="Arial" w:cs="Arial"/>
          <w:sz w:val="20"/>
          <w:szCs w:val="20"/>
        </w:rPr>
      </w:pPr>
    </w:p>
    <w:p w14:paraId="685BBF91" w14:textId="10B509BC" w:rsidR="00794300" w:rsidRDefault="00794300" w:rsidP="000254A5">
      <w:pPr>
        <w:tabs>
          <w:tab w:val="left" w:pos="-720"/>
          <w:tab w:val="left" w:pos="567"/>
        </w:tabs>
        <w:suppressAutoHyphens/>
        <w:spacing w:after="80"/>
        <w:ind w:left="567"/>
        <w:jc w:val="both"/>
        <w:rPr>
          <w:rFonts w:ascii="Arial" w:hAnsi="Arial" w:cs="Arial"/>
          <w:sz w:val="20"/>
          <w:szCs w:val="20"/>
        </w:rPr>
      </w:pPr>
      <w:r w:rsidRPr="000D1A16">
        <w:rPr>
          <w:rFonts w:ascii="Arial" w:hAnsi="Arial" w:cs="Arial"/>
          <w:sz w:val="20"/>
          <w:szCs w:val="20"/>
        </w:rPr>
        <w:t>Un detalle de los s</w:t>
      </w:r>
      <w:r w:rsidR="00B11D6C" w:rsidRPr="000D1A16">
        <w:rPr>
          <w:rFonts w:ascii="Arial" w:hAnsi="Arial" w:cs="Arial"/>
          <w:sz w:val="20"/>
          <w:szCs w:val="20"/>
        </w:rPr>
        <w:t xml:space="preserve">aldos al </w:t>
      </w:r>
      <w:r w:rsidR="009E69E1">
        <w:rPr>
          <w:rFonts w:ascii="Arial" w:hAnsi="Arial" w:cs="Arial"/>
          <w:sz w:val="20"/>
          <w:szCs w:val="20"/>
        </w:rPr>
        <w:t>31</w:t>
      </w:r>
      <w:r w:rsidR="00F46E34">
        <w:rPr>
          <w:rFonts w:ascii="Arial" w:hAnsi="Arial" w:cs="Arial"/>
          <w:sz w:val="20"/>
          <w:szCs w:val="20"/>
        </w:rPr>
        <w:t xml:space="preserve"> de diciembre del </w:t>
      </w:r>
      <w:r w:rsidR="00C03AB5">
        <w:rPr>
          <w:rFonts w:ascii="Arial" w:hAnsi="Arial" w:cs="Arial"/>
          <w:sz w:val="20"/>
          <w:szCs w:val="20"/>
        </w:rPr>
        <w:t>2024</w:t>
      </w:r>
      <w:r w:rsidR="00F46E34">
        <w:rPr>
          <w:rFonts w:ascii="Arial" w:hAnsi="Arial" w:cs="Arial"/>
          <w:sz w:val="20"/>
          <w:szCs w:val="20"/>
        </w:rPr>
        <w:t xml:space="preserve"> y </w:t>
      </w:r>
      <w:r w:rsidR="00C03AB5">
        <w:rPr>
          <w:rFonts w:ascii="Arial" w:hAnsi="Arial" w:cs="Arial"/>
          <w:sz w:val="20"/>
          <w:szCs w:val="20"/>
        </w:rPr>
        <w:t>2023</w:t>
      </w:r>
      <w:r w:rsidRPr="000D1A16">
        <w:rPr>
          <w:rFonts w:ascii="Arial" w:hAnsi="Arial" w:cs="Arial"/>
          <w:sz w:val="20"/>
          <w:szCs w:val="20"/>
        </w:rPr>
        <w:t xml:space="preserve"> con partes relacionadas de las transacciones antes mencionadas son como sigue:</w:t>
      </w:r>
    </w:p>
    <w:p w14:paraId="22D108C0" w14:textId="77777777" w:rsidR="00F46E34" w:rsidRPr="000D1A16" w:rsidRDefault="00F46E34" w:rsidP="000254A5">
      <w:pPr>
        <w:tabs>
          <w:tab w:val="left" w:pos="-720"/>
          <w:tab w:val="left" w:pos="567"/>
        </w:tabs>
        <w:suppressAutoHyphens/>
        <w:spacing w:after="80"/>
        <w:ind w:left="567"/>
        <w:jc w:val="both"/>
        <w:rPr>
          <w:rFonts w:ascii="Arial" w:hAnsi="Arial" w:cs="Arial"/>
          <w:sz w:val="20"/>
          <w:szCs w:val="20"/>
        </w:rPr>
      </w:pPr>
    </w:p>
    <w:bookmarkStart w:id="124" w:name="_MON_1551085166"/>
    <w:bookmarkEnd w:id="124"/>
    <w:p w14:paraId="484976E1" w14:textId="7BB0600C" w:rsidR="00C51B5A" w:rsidRPr="000D1A16" w:rsidRDefault="00F86EDE" w:rsidP="009A1DBB">
      <w:pPr>
        <w:tabs>
          <w:tab w:val="left" w:pos="-720"/>
          <w:tab w:val="left" w:pos="567"/>
        </w:tabs>
        <w:suppressAutoHyphens/>
        <w:ind w:left="567"/>
        <w:jc w:val="both"/>
        <w:rPr>
          <w:rFonts w:ascii="Arial" w:hAnsi="Arial" w:cs="Arial"/>
          <w:sz w:val="20"/>
          <w:szCs w:val="20"/>
        </w:rPr>
      </w:pPr>
      <w:r>
        <w:rPr>
          <w:rFonts w:ascii="Arial" w:hAnsi="Arial" w:cs="Arial"/>
          <w:noProof/>
          <w:sz w:val="20"/>
          <w:szCs w:val="20"/>
        </w:rPr>
        <w:object w:dxaOrig="11719" w:dyaOrig="1273" w14:anchorId="117A22D3">
          <v:shape id="_x0000_i1122" type="#_x0000_t75" alt="" style="width:423pt;height:52.8pt" o:ole="">
            <v:imagedata r:id="rId40" o:title=""/>
          </v:shape>
          <o:OLEObject Type="Embed" ProgID="Excel.Sheet.12" ShapeID="_x0000_i1122" DrawAspect="Content" ObjectID="_1807083703" r:id="rId41"/>
        </w:object>
      </w:r>
      <w:r w:rsidR="00DB4125" w:rsidRPr="000D1A16">
        <w:rPr>
          <w:rFonts w:ascii="Arial" w:hAnsi="Arial" w:cs="Arial"/>
          <w:sz w:val="20"/>
          <w:szCs w:val="20"/>
        </w:rPr>
        <w:t>Las cuentas por pagar corrientes a partes relacionadas</w:t>
      </w:r>
      <w:r w:rsidR="000A786F">
        <w:rPr>
          <w:rFonts w:ascii="Arial" w:hAnsi="Arial" w:cs="Arial"/>
          <w:sz w:val="20"/>
          <w:szCs w:val="20"/>
        </w:rPr>
        <w:t xml:space="preserve"> son comerciales y</w:t>
      </w:r>
      <w:r w:rsidR="00DB4125" w:rsidRPr="000D1A16">
        <w:rPr>
          <w:rFonts w:ascii="Arial" w:hAnsi="Arial" w:cs="Arial"/>
          <w:sz w:val="20"/>
          <w:szCs w:val="20"/>
        </w:rPr>
        <w:t xml:space="preserve"> tienen vencimientos corrientes y no devengan ni causan intereses.</w:t>
      </w:r>
    </w:p>
    <w:p w14:paraId="45627A5E" w14:textId="77777777" w:rsidR="00DE5D79" w:rsidRDefault="00DE5D79" w:rsidP="000A786F">
      <w:pPr>
        <w:tabs>
          <w:tab w:val="left" w:pos="-720"/>
          <w:tab w:val="left" w:pos="1134"/>
        </w:tabs>
        <w:suppressAutoHyphens/>
        <w:rPr>
          <w:rFonts w:ascii="Arial" w:hAnsi="Arial" w:cs="Arial"/>
          <w:sz w:val="20"/>
          <w:szCs w:val="20"/>
        </w:rPr>
      </w:pPr>
    </w:p>
    <w:p w14:paraId="2785FC56" w14:textId="1141E927" w:rsidR="00DE5D79" w:rsidRPr="00B24990" w:rsidRDefault="00DE5D79" w:rsidP="001453EA">
      <w:pPr>
        <w:pStyle w:val="Prrafodelista"/>
        <w:numPr>
          <w:ilvl w:val="0"/>
          <w:numId w:val="6"/>
        </w:numPr>
        <w:tabs>
          <w:tab w:val="left" w:pos="-720"/>
          <w:tab w:val="left" w:pos="1134"/>
        </w:tabs>
        <w:suppressAutoHyphens/>
        <w:spacing w:before="0" w:after="0"/>
        <w:ind w:left="1134" w:hanging="567"/>
        <w:rPr>
          <w:rFonts w:ascii="Arial" w:hAnsi="Arial" w:cs="Arial"/>
          <w:sz w:val="20"/>
          <w:szCs w:val="20"/>
        </w:rPr>
      </w:pPr>
      <w:r w:rsidRPr="00B24990">
        <w:rPr>
          <w:rFonts w:ascii="Arial" w:hAnsi="Arial" w:cs="Arial"/>
          <w:color w:val="000000" w:themeColor="text1"/>
          <w:sz w:val="20"/>
          <w:szCs w:val="20"/>
        </w:rPr>
        <w:t xml:space="preserve">Los préstamos por pagar a partes relacionadas corresponden a contratos </w:t>
      </w:r>
      <w:r w:rsidR="00C53FB8" w:rsidRPr="00B24990">
        <w:rPr>
          <w:rFonts w:ascii="Arial" w:hAnsi="Arial" w:cs="Arial"/>
          <w:color w:val="000000" w:themeColor="text1"/>
          <w:sz w:val="20"/>
          <w:szCs w:val="20"/>
        </w:rPr>
        <w:t>de mutuo</w:t>
      </w:r>
      <w:r w:rsidRPr="00B24990">
        <w:rPr>
          <w:rFonts w:ascii="Arial" w:hAnsi="Arial" w:cs="Arial"/>
          <w:color w:val="000000" w:themeColor="text1"/>
          <w:sz w:val="20"/>
          <w:szCs w:val="20"/>
        </w:rPr>
        <w:t>, que convienen un plazo de entre 90 y 365 días para el pago de dicha obligación</w:t>
      </w:r>
    </w:p>
    <w:p w14:paraId="1D96FFC2" w14:textId="77777777" w:rsidR="00B24990" w:rsidRPr="00B24990" w:rsidRDefault="00B24990" w:rsidP="00B24990">
      <w:pPr>
        <w:pStyle w:val="Prrafodelista"/>
        <w:tabs>
          <w:tab w:val="left" w:pos="-720"/>
          <w:tab w:val="left" w:pos="1134"/>
        </w:tabs>
        <w:suppressAutoHyphens/>
        <w:spacing w:before="0" w:after="0"/>
        <w:ind w:left="1134"/>
        <w:rPr>
          <w:rFonts w:ascii="Arial" w:hAnsi="Arial" w:cs="Arial"/>
          <w:sz w:val="20"/>
          <w:szCs w:val="20"/>
        </w:rPr>
      </w:pPr>
    </w:p>
    <w:p w14:paraId="5A2E26C3" w14:textId="77777777" w:rsidR="00395DBA" w:rsidRPr="000D1A16" w:rsidRDefault="00395DBA" w:rsidP="008D7017">
      <w:pPr>
        <w:tabs>
          <w:tab w:val="left" w:pos="-720"/>
          <w:tab w:val="left" w:pos="567"/>
        </w:tabs>
        <w:suppressAutoHyphens/>
        <w:jc w:val="both"/>
        <w:rPr>
          <w:rFonts w:ascii="Arial" w:hAnsi="Arial" w:cs="Arial"/>
          <w:sz w:val="20"/>
          <w:szCs w:val="20"/>
        </w:rPr>
      </w:pPr>
      <w:r w:rsidRPr="000D1A16">
        <w:rPr>
          <w:rFonts w:ascii="Arial" w:hAnsi="Arial" w:cs="Arial"/>
          <w:b/>
          <w:sz w:val="20"/>
          <w:szCs w:val="20"/>
        </w:rPr>
        <w:t>b)</w:t>
      </w:r>
      <w:r w:rsidRPr="000D1A16">
        <w:rPr>
          <w:rFonts w:ascii="Arial" w:hAnsi="Arial" w:cs="Arial"/>
          <w:b/>
          <w:sz w:val="20"/>
          <w:szCs w:val="20"/>
        </w:rPr>
        <w:tab/>
        <w:t>Transacciones del año</w:t>
      </w:r>
    </w:p>
    <w:bookmarkStart w:id="125" w:name="_MON_1649509047"/>
    <w:bookmarkEnd w:id="125"/>
    <w:p w14:paraId="5B4D572C" w14:textId="4715E65F" w:rsidR="009028B5" w:rsidRDefault="00F86EDE" w:rsidP="009028B5">
      <w:pPr>
        <w:tabs>
          <w:tab w:val="left" w:pos="-720"/>
        </w:tabs>
        <w:suppressAutoHyphens/>
        <w:ind w:left="567"/>
        <w:jc w:val="both"/>
        <w:rPr>
          <w:rFonts w:ascii="Arial" w:hAnsi="Arial" w:cs="Arial"/>
          <w:color w:val="FF0000"/>
          <w:sz w:val="20"/>
          <w:szCs w:val="20"/>
        </w:rPr>
      </w:pPr>
      <w:r w:rsidRPr="00C23A4D">
        <w:rPr>
          <w:rFonts w:ascii="Arial" w:hAnsi="Arial" w:cs="Arial"/>
          <w:noProof/>
          <w:color w:val="FF0000"/>
          <w:sz w:val="20"/>
          <w:szCs w:val="20"/>
        </w:rPr>
        <w:object w:dxaOrig="6737" w:dyaOrig="2399" w14:anchorId="1596A1B7">
          <v:shape id="_x0000_i1128" type="#_x0000_t75" alt="" style="width:339.6pt;height:108.6pt" o:ole="">
            <v:imagedata r:id="rId42" o:title=""/>
          </v:shape>
          <o:OLEObject Type="Embed" ProgID="Excel.Sheet.12" ShapeID="_x0000_i1128" DrawAspect="Content" ObjectID="_1807083704" r:id="rId43"/>
        </w:object>
      </w:r>
      <w:bookmarkStart w:id="126" w:name="_MON_1552477502"/>
      <w:bookmarkStart w:id="127" w:name="_MON_1552716932"/>
      <w:bookmarkStart w:id="128" w:name="_MON_1391852463"/>
      <w:bookmarkStart w:id="129" w:name="_MON_1456778536"/>
      <w:bookmarkStart w:id="130" w:name="_MON_1391349998"/>
      <w:bookmarkStart w:id="131" w:name="_MON_1391350021"/>
      <w:bookmarkStart w:id="132" w:name="_MON_1391532438"/>
      <w:bookmarkEnd w:id="126"/>
      <w:bookmarkEnd w:id="127"/>
      <w:bookmarkEnd w:id="128"/>
      <w:bookmarkEnd w:id="129"/>
      <w:bookmarkEnd w:id="130"/>
      <w:bookmarkEnd w:id="131"/>
      <w:bookmarkEnd w:id="132"/>
    </w:p>
    <w:p w14:paraId="13F49425" w14:textId="36D98E2B" w:rsidR="00E45DD0" w:rsidRPr="009028B5" w:rsidRDefault="00C53FB8" w:rsidP="009028B5">
      <w:pPr>
        <w:tabs>
          <w:tab w:val="left" w:pos="-720"/>
        </w:tabs>
        <w:suppressAutoHyphens/>
        <w:jc w:val="both"/>
        <w:rPr>
          <w:rFonts w:ascii="Arial" w:hAnsi="Arial" w:cs="Arial"/>
          <w:color w:val="FF0000"/>
          <w:sz w:val="20"/>
          <w:szCs w:val="20"/>
        </w:rPr>
      </w:pPr>
      <w:r>
        <w:rPr>
          <w:rFonts w:ascii="Arial" w:hAnsi="Arial" w:cs="Arial"/>
          <w:b/>
          <w:bCs/>
          <w:sz w:val="20"/>
          <w:szCs w:val="20"/>
        </w:rPr>
        <w:t xml:space="preserve">NOTA </w:t>
      </w:r>
      <w:r w:rsidR="00460544">
        <w:rPr>
          <w:rFonts w:ascii="Arial" w:hAnsi="Arial" w:cs="Arial"/>
          <w:b/>
          <w:bCs/>
          <w:sz w:val="20"/>
          <w:szCs w:val="20"/>
        </w:rPr>
        <w:t>21</w:t>
      </w:r>
      <w:r w:rsidR="00BA212A" w:rsidRPr="008B655F">
        <w:rPr>
          <w:rFonts w:ascii="Arial" w:hAnsi="Arial" w:cs="Arial"/>
          <w:b/>
          <w:bCs/>
          <w:sz w:val="20"/>
          <w:szCs w:val="20"/>
        </w:rPr>
        <w:t xml:space="preserve"> – </w:t>
      </w:r>
      <w:r w:rsidR="0009536C" w:rsidRPr="008B655F">
        <w:rPr>
          <w:rFonts w:ascii="Arial" w:hAnsi="Arial" w:cs="Arial"/>
          <w:b/>
          <w:bCs/>
          <w:sz w:val="20"/>
          <w:szCs w:val="20"/>
        </w:rPr>
        <w:t>C</w:t>
      </w:r>
      <w:r w:rsidR="00BA212A" w:rsidRPr="008B655F">
        <w:rPr>
          <w:rFonts w:ascii="Arial" w:hAnsi="Arial" w:cs="Arial"/>
          <w:b/>
          <w:bCs/>
          <w:sz w:val="20"/>
          <w:szCs w:val="20"/>
        </w:rPr>
        <w:t>OMPROMISOS Y CONTINGENCIAS</w:t>
      </w:r>
    </w:p>
    <w:p w14:paraId="28E41CFE" w14:textId="77777777" w:rsidR="00BA212A" w:rsidRPr="000D1A16" w:rsidRDefault="00BA212A" w:rsidP="00DE544C">
      <w:pPr>
        <w:jc w:val="both"/>
        <w:rPr>
          <w:rFonts w:ascii="Arial" w:hAnsi="Arial" w:cs="Arial"/>
          <w:sz w:val="20"/>
          <w:szCs w:val="20"/>
        </w:rPr>
      </w:pPr>
    </w:p>
    <w:p w14:paraId="52391609" w14:textId="05D57DE4" w:rsidR="00DE544C" w:rsidRPr="000D1A16" w:rsidRDefault="00A11058" w:rsidP="00DE544C">
      <w:pPr>
        <w:jc w:val="both"/>
        <w:rPr>
          <w:rFonts w:ascii="Arial" w:hAnsi="Arial" w:cs="Arial"/>
          <w:sz w:val="20"/>
          <w:szCs w:val="20"/>
        </w:rPr>
      </w:pPr>
      <w:r w:rsidRPr="000D1A16">
        <w:rPr>
          <w:rFonts w:ascii="Arial" w:hAnsi="Arial" w:cs="Arial"/>
          <w:sz w:val="20"/>
          <w:szCs w:val="20"/>
        </w:rPr>
        <w:t xml:space="preserve">Al </w:t>
      </w:r>
      <w:r w:rsidR="00C53FB8">
        <w:rPr>
          <w:rFonts w:ascii="Arial" w:hAnsi="Arial" w:cs="Arial"/>
          <w:sz w:val="20"/>
          <w:szCs w:val="20"/>
        </w:rPr>
        <w:t xml:space="preserve">31 de diciembre del </w:t>
      </w:r>
      <w:r w:rsidR="00C03AB5">
        <w:rPr>
          <w:rFonts w:ascii="Arial" w:hAnsi="Arial" w:cs="Arial"/>
          <w:sz w:val="20"/>
          <w:szCs w:val="20"/>
        </w:rPr>
        <w:t>2024</w:t>
      </w:r>
      <w:r w:rsidR="00C53FB8">
        <w:rPr>
          <w:rFonts w:ascii="Arial" w:hAnsi="Arial" w:cs="Arial"/>
          <w:sz w:val="20"/>
          <w:szCs w:val="20"/>
        </w:rPr>
        <w:t xml:space="preserve"> y </w:t>
      </w:r>
      <w:r w:rsidR="00C03AB5">
        <w:rPr>
          <w:rFonts w:ascii="Arial" w:hAnsi="Arial" w:cs="Arial"/>
          <w:sz w:val="20"/>
          <w:szCs w:val="20"/>
        </w:rPr>
        <w:t>2023</w:t>
      </w:r>
      <w:r w:rsidR="00DE544C" w:rsidRPr="000D1A16">
        <w:rPr>
          <w:rFonts w:ascii="Arial" w:hAnsi="Arial" w:cs="Arial"/>
          <w:sz w:val="20"/>
          <w:szCs w:val="20"/>
        </w:rPr>
        <w:t xml:space="preserve"> la Compañía </w:t>
      </w:r>
      <w:r w:rsidR="000A786F">
        <w:rPr>
          <w:rFonts w:ascii="Arial" w:hAnsi="Arial" w:cs="Arial"/>
          <w:sz w:val="20"/>
          <w:szCs w:val="20"/>
        </w:rPr>
        <w:t xml:space="preserve">no tiene compromisos ni </w:t>
      </w:r>
      <w:r w:rsidR="00DE544C" w:rsidRPr="000D1A16">
        <w:rPr>
          <w:rFonts w:ascii="Arial" w:hAnsi="Arial" w:cs="Arial"/>
          <w:sz w:val="20"/>
          <w:szCs w:val="20"/>
        </w:rPr>
        <w:t>contingencias:</w:t>
      </w:r>
    </w:p>
    <w:p w14:paraId="730F4855" w14:textId="77777777" w:rsidR="0059010E" w:rsidRPr="000D1A16" w:rsidRDefault="0059010E" w:rsidP="008D7017">
      <w:pPr>
        <w:jc w:val="both"/>
        <w:rPr>
          <w:rFonts w:ascii="Arial" w:hAnsi="Arial" w:cs="Arial"/>
          <w:bCs/>
          <w:sz w:val="20"/>
          <w:szCs w:val="20"/>
          <w:highlight w:val="yellow"/>
        </w:rPr>
      </w:pPr>
    </w:p>
    <w:p w14:paraId="2C56E8C1" w14:textId="2618B9C8" w:rsidR="008B655F" w:rsidRPr="00CC34A0" w:rsidRDefault="008B655F" w:rsidP="008B655F">
      <w:pPr>
        <w:jc w:val="both"/>
        <w:rPr>
          <w:rFonts w:ascii="Arial" w:hAnsi="Arial" w:cs="Arial"/>
          <w:b/>
          <w:sz w:val="20"/>
          <w:szCs w:val="20"/>
        </w:rPr>
      </w:pPr>
      <w:r>
        <w:rPr>
          <w:rFonts w:ascii="Arial" w:hAnsi="Arial" w:cs="Arial"/>
          <w:b/>
          <w:sz w:val="20"/>
          <w:szCs w:val="20"/>
        </w:rPr>
        <w:t>NOTA</w:t>
      </w:r>
      <w:r w:rsidR="00C53FB8">
        <w:rPr>
          <w:rFonts w:ascii="Arial" w:hAnsi="Arial" w:cs="Arial"/>
          <w:b/>
          <w:sz w:val="20"/>
          <w:szCs w:val="20"/>
        </w:rPr>
        <w:t xml:space="preserve"> </w:t>
      </w:r>
      <w:r w:rsidR="00460544">
        <w:rPr>
          <w:rFonts w:ascii="Arial" w:hAnsi="Arial" w:cs="Arial"/>
          <w:b/>
          <w:sz w:val="20"/>
          <w:szCs w:val="20"/>
        </w:rPr>
        <w:t>22</w:t>
      </w:r>
      <w:r w:rsidR="00CA1F7B">
        <w:rPr>
          <w:rFonts w:ascii="Arial" w:hAnsi="Arial" w:cs="Arial"/>
          <w:b/>
          <w:sz w:val="20"/>
          <w:szCs w:val="20"/>
        </w:rPr>
        <w:t xml:space="preserve"> – ADMINISTRACIÓN DE </w:t>
      </w:r>
      <w:r w:rsidRPr="00CC34A0">
        <w:rPr>
          <w:rFonts w:ascii="Arial" w:hAnsi="Arial" w:cs="Arial"/>
          <w:b/>
          <w:sz w:val="20"/>
          <w:szCs w:val="20"/>
        </w:rPr>
        <w:t>RIESGOS FINANCIEROS</w:t>
      </w:r>
    </w:p>
    <w:p w14:paraId="1D2C01F7" w14:textId="77777777" w:rsidR="008B655F" w:rsidRPr="000D1A16" w:rsidRDefault="008B655F" w:rsidP="008B655F">
      <w:pPr>
        <w:ind w:left="567"/>
        <w:jc w:val="both"/>
        <w:rPr>
          <w:rFonts w:ascii="Arial" w:hAnsi="Arial" w:cs="Arial"/>
          <w:bCs/>
          <w:sz w:val="20"/>
          <w:szCs w:val="20"/>
        </w:rPr>
      </w:pPr>
    </w:p>
    <w:p w14:paraId="3C543001" w14:textId="77777777" w:rsidR="008B655F" w:rsidRPr="000D1A16" w:rsidRDefault="008B655F" w:rsidP="008B655F">
      <w:pPr>
        <w:ind w:left="567" w:hanging="567"/>
        <w:jc w:val="both"/>
        <w:rPr>
          <w:rFonts w:ascii="Arial" w:hAnsi="Arial" w:cs="Arial"/>
          <w:b/>
          <w:bCs/>
          <w:sz w:val="20"/>
          <w:szCs w:val="20"/>
        </w:rPr>
      </w:pPr>
      <w:r w:rsidRPr="000D1A16">
        <w:rPr>
          <w:rFonts w:ascii="Arial" w:hAnsi="Arial" w:cs="Arial"/>
          <w:b/>
          <w:bCs/>
          <w:sz w:val="20"/>
          <w:szCs w:val="20"/>
        </w:rPr>
        <w:t>a)</w:t>
      </w:r>
      <w:r w:rsidRPr="000D1A16">
        <w:rPr>
          <w:rFonts w:ascii="Arial" w:hAnsi="Arial" w:cs="Arial"/>
          <w:b/>
          <w:bCs/>
          <w:sz w:val="20"/>
          <w:szCs w:val="20"/>
        </w:rPr>
        <w:tab/>
        <w:t>Objetivos y políticas de administración de riesgo financiero</w:t>
      </w:r>
    </w:p>
    <w:p w14:paraId="04C276F3" w14:textId="77777777" w:rsidR="008B655F" w:rsidRPr="000D1A16" w:rsidRDefault="008B655F" w:rsidP="008B655F">
      <w:pPr>
        <w:ind w:left="567"/>
        <w:jc w:val="both"/>
        <w:rPr>
          <w:rFonts w:ascii="Arial" w:hAnsi="Arial" w:cs="Arial"/>
          <w:bCs/>
          <w:sz w:val="20"/>
          <w:szCs w:val="20"/>
        </w:rPr>
      </w:pPr>
    </w:p>
    <w:p w14:paraId="335A00ED" w14:textId="469FA95A" w:rsidR="008B655F" w:rsidRPr="009028B5" w:rsidRDefault="00B24990" w:rsidP="008B655F">
      <w:pPr>
        <w:ind w:left="567" w:right="49"/>
        <w:jc w:val="both"/>
        <w:rPr>
          <w:rFonts w:ascii="Arial" w:hAnsi="Arial" w:cs="Arial"/>
          <w:sz w:val="20"/>
          <w:szCs w:val="20"/>
        </w:rPr>
      </w:pPr>
      <w:r w:rsidRPr="009028B5">
        <w:rPr>
          <w:rFonts w:ascii="Arial" w:hAnsi="Arial" w:cs="Arial"/>
          <w:sz w:val="20"/>
          <w:szCs w:val="20"/>
        </w:rPr>
        <w:t>ACTIVENERGY S.A.S</w:t>
      </w:r>
      <w:r w:rsidR="008B655F" w:rsidRPr="009028B5">
        <w:rPr>
          <w:rFonts w:ascii="Arial" w:hAnsi="Arial" w:cs="Arial"/>
          <w:sz w:val="20"/>
          <w:szCs w:val="20"/>
        </w:rPr>
        <w:t xml:space="preserve">; tiene presencia únicamente en el mercado nacional. En consecuencia, su negocio, condición financiera y resultados operacionales dependerán en parte de las condiciones de estabilidad política y económica. Eventuales cambios adversos en tales </w:t>
      </w:r>
      <w:r w:rsidR="008B655F" w:rsidRPr="009028B5">
        <w:rPr>
          <w:rFonts w:ascii="Arial" w:hAnsi="Arial" w:cs="Arial"/>
          <w:sz w:val="20"/>
          <w:szCs w:val="20"/>
        </w:rPr>
        <w:lastRenderedPageBreak/>
        <w:t>condiciones podrían causar un efecto negativo en el negocio y resultados operacionales de la Compañía.</w:t>
      </w:r>
    </w:p>
    <w:p w14:paraId="1EE243DD" w14:textId="77777777" w:rsidR="008B655F" w:rsidRPr="009028B5" w:rsidRDefault="008B655F" w:rsidP="008B655F">
      <w:pPr>
        <w:pStyle w:val="Prrafo192p10"/>
        <w:spacing w:after="0"/>
        <w:ind w:left="567"/>
        <w:jc w:val="center"/>
        <w:rPr>
          <w:rFonts w:ascii="Arial" w:hAnsi="Arial" w:cs="Arial"/>
          <w:sz w:val="20"/>
          <w:szCs w:val="20"/>
          <w:lang w:val="es-ES"/>
        </w:rPr>
      </w:pPr>
    </w:p>
    <w:p w14:paraId="69523EDD" w14:textId="77777777" w:rsidR="008B655F" w:rsidRPr="009028B5" w:rsidRDefault="008B655F" w:rsidP="008B655F">
      <w:pPr>
        <w:ind w:left="567" w:right="49"/>
        <w:jc w:val="both"/>
        <w:rPr>
          <w:rFonts w:ascii="Arial" w:hAnsi="Arial" w:cs="Arial"/>
          <w:sz w:val="20"/>
          <w:szCs w:val="20"/>
        </w:rPr>
      </w:pPr>
      <w:r w:rsidRPr="009028B5">
        <w:rPr>
          <w:rFonts w:ascii="Arial" w:hAnsi="Arial" w:cs="Arial"/>
          <w:sz w:val="20"/>
          <w:szCs w:val="20"/>
        </w:rPr>
        <w:t xml:space="preserve">La Administración es responsable por establecer y supervisar el marco de administración de riesgos, así como el desarrollo y seguimiento de las políticas de administración de riesgos de la Compañía.  Los departamentos de crédito y finanzas son los encargados de desempeñar dichas funciones que les han sido otorgadas por la gerencia general.  Dichos departamentos identifican, evalúan y administran los riesgos en coordinación estrecha con las unidades operativas de la Compañía.  La Gerencia General proporciona guías y principios para la administración general de </w:t>
      </w:r>
      <w:proofErr w:type="gramStart"/>
      <w:r w:rsidRPr="009028B5">
        <w:rPr>
          <w:rFonts w:ascii="Arial" w:hAnsi="Arial" w:cs="Arial"/>
          <w:sz w:val="20"/>
          <w:szCs w:val="20"/>
        </w:rPr>
        <w:t>riesgos</w:t>
      </w:r>
      <w:proofErr w:type="gramEnd"/>
      <w:r w:rsidRPr="009028B5">
        <w:rPr>
          <w:rFonts w:ascii="Arial" w:hAnsi="Arial" w:cs="Arial"/>
          <w:sz w:val="20"/>
          <w:szCs w:val="20"/>
        </w:rPr>
        <w:t xml:space="preserve"> así como las políticas para cubrir áreas específicas, tales como el riesgo de crédito, el riesgo de liquidez y el riesgo de mercado.</w:t>
      </w:r>
    </w:p>
    <w:p w14:paraId="13428C5D" w14:textId="77777777" w:rsidR="008B655F" w:rsidRPr="009028B5" w:rsidRDefault="008B655F" w:rsidP="008B655F">
      <w:pPr>
        <w:ind w:left="567" w:right="49"/>
        <w:jc w:val="both"/>
        <w:rPr>
          <w:rFonts w:ascii="Arial" w:hAnsi="Arial" w:cs="Arial"/>
          <w:sz w:val="20"/>
          <w:szCs w:val="20"/>
          <w:lang w:val="es-EC"/>
        </w:rPr>
      </w:pPr>
    </w:p>
    <w:p w14:paraId="7B0F8AB9" w14:textId="77777777" w:rsidR="008B655F" w:rsidRPr="009028B5" w:rsidRDefault="008B655F" w:rsidP="008B655F">
      <w:pPr>
        <w:ind w:left="567" w:right="49"/>
        <w:jc w:val="both"/>
        <w:rPr>
          <w:rFonts w:ascii="Arial" w:hAnsi="Arial" w:cs="Arial"/>
          <w:sz w:val="20"/>
          <w:szCs w:val="20"/>
        </w:rPr>
      </w:pPr>
      <w:r w:rsidRPr="009028B5">
        <w:rPr>
          <w:rFonts w:ascii="Arial" w:hAnsi="Arial" w:cs="Arial"/>
          <w:sz w:val="20"/>
          <w:szCs w:val="20"/>
        </w:rPr>
        <w:t xml:space="preserve">Las políticas de administración de riesgo de la Compañía son establecidas con el objeto de identificar y analizar los riesgos enfrentados por la Compañía, fijar límites y controles de riesgo adecuados, y para monitorear los riesgos y el cumplimiento de los límites.  </w:t>
      </w:r>
    </w:p>
    <w:p w14:paraId="1E49CB3A" w14:textId="77777777" w:rsidR="008B655F" w:rsidRPr="009028B5" w:rsidRDefault="008B655F" w:rsidP="008B655F">
      <w:pPr>
        <w:ind w:left="567" w:right="49"/>
        <w:jc w:val="both"/>
        <w:rPr>
          <w:rFonts w:ascii="Arial" w:hAnsi="Arial" w:cs="Arial"/>
          <w:sz w:val="20"/>
          <w:szCs w:val="20"/>
        </w:rPr>
      </w:pPr>
    </w:p>
    <w:p w14:paraId="100638D4" w14:textId="77777777" w:rsidR="008B655F" w:rsidRPr="009028B5" w:rsidRDefault="008B655F" w:rsidP="008B655F">
      <w:pPr>
        <w:ind w:left="567" w:right="49"/>
        <w:jc w:val="both"/>
        <w:rPr>
          <w:rFonts w:ascii="Arial" w:hAnsi="Arial" w:cs="Arial"/>
          <w:sz w:val="20"/>
          <w:szCs w:val="20"/>
        </w:rPr>
      </w:pPr>
      <w:r w:rsidRPr="009028B5">
        <w:rPr>
          <w:rFonts w:ascii="Arial" w:hAnsi="Arial" w:cs="Arial"/>
          <w:sz w:val="20"/>
          <w:szCs w:val="20"/>
        </w:rPr>
        <w:t>Se revisan regularmente las políticas y los sistemas de administración de riesgo de la Compañía, a fin de que reflejen los cambios en las condiciones de mercado y en las actividades.  La Compañía, a través de sus normas y procedimientos de administración, pretende desarrollar un ambiente de control disciplinado y constructivo en el cual todos los empleados entiendan sus roles y obligaciones.</w:t>
      </w:r>
    </w:p>
    <w:p w14:paraId="59BEDECD" w14:textId="77777777" w:rsidR="008B655F" w:rsidRPr="009028B5" w:rsidRDefault="008B655F" w:rsidP="008B655F">
      <w:pPr>
        <w:ind w:left="567" w:right="49"/>
        <w:jc w:val="both"/>
        <w:rPr>
          <w:rFonts w:ascii="Arial" w:hAnsi="Arial" w:cs="Arial"/>
          <w:sz w:val="20"/>
          <w:szCs w:val="20"/>
        </w:rPr>
      </w:pPr>
    </w:p>
    <w:p w14:paraId="0A764ABF" w14:textId="77777777" w:rsidR="008B655F" w:rsidRPr="009028B5" w:rsidRDefault="008B655F" w:rsidP="008B655F">
      <w:pPr>
        <w:ind w:left="567" w:right="49"/>
        <w:jc w:val="both"/>
        <w:rPr>
          <w:rFonts w:ascii="Arial" w:hAnsi="Arial" w:cs="Arial"/>
          <w:sz w:val="20"/>
          <w:szCs w:val="20"/>
        </w:rPr>
      </w:pPr>
      <w:r w:rsidRPr="009028B5">
        <w:rPr>
          <w:rFonts w:ascii="Arial" w:hAnsi="Arial" w:cs="Arial"/>
          <w:sz w:val="20"/>
          <w:szCs w:val="20"/>
        </w:rPr>
        <w:t>La Administración monitorea el cumplimiento de las políticas y los procedimientos de administración de riesgo y revisa si su marco de administración de riesgo es apropiado respecto a los riesgos a los cuales se enfrenta la Compañía.</w:t>
      </w:r>
    </w:p>
    <w:p w14:paraId="771E46EB" w14:textId="77777777" w:rsidR="008B655F" w:rsidRPr="000D1A16" w:rsidRDefault="008B655F" w:rsidP="008B655F">
      <w:pPr>
        <w:tabs>
          <w:tab w:val="right" w:pos="9072"/>
        </w:tabs>
        <w:ind w:left="567"/>
        <w:jc w:val="both"/>
        <w:rPr>
          <w:rFonts w:ascii="Arial" w:eastAsia="Arial" w:hAnsi="Arial" w:cs="Arial"/>
          <w:sz w:val="20"/>
          <w:szCs w:val="20"/>
        </w:rPr>
      </w:pPr>
    </w:p>
    <w:p w14:paraId="5F9394CA" w14:textId="77777777" w:rsidR="008B655F" w:rsidRDefault="008B655F" w:rsidP="008B655F">
      <w:pPr>
        <w:ind w:left="567"/>
        <w:jc w:val="both"/>
        <w:rPr>
          <w:rFonts w:ascii="Arial" w:hAnsi="Arial" w:cs="Arial"/>
          <w:bCs/>
          <w:sz w:val="20"/>
          <w:szCs w:val="20"/>
        </w:rPr>
      </w:pPr>
      <w:r w:rsidRPr="000D1A16">
        <w:rPr>
          <w:rFonts w:ascii="Arial" w:eastAsia="Arial" w:hAnsi="Arial" w:cs="Arial"/>
          <w:sz w:val="20"/>
          <w:szCs w:val="20"/>
        </w:rPr>
        <w:t>La estructura de gestión de riesgos tiene como base los accionistas y la Gerencia de la Compañía, que son los responsables de identificar y controlar los riesgos en coordinación con otras áreas como se explica a continuación</w:t>
      </w:r>
      <w:r w:rsidRPr="000D1A16">
        <w:rPr>
          <w:rFonts w:ascii="Arial" w:hAnsi="Arial" w:cs="Arial"/>
          <w:bCs/>
          <w:sz w:val="20"/>
          <w:szCs w:val="20"/>
        </w:rPr>
        <w:t xml:space="preserve">: </w:t>
      </w:r>
    </w:p>
    <w:p w14:paraId="3BBFE71E" w14:textId="77777777" w:rsidR="006D1876" w:rsidRPr="000D1A16" w:rsidRDefault="006D1876" w:rsidP="008B655F">
      <w:pPr>
        <w:ind w:left="567"/>
        <w:jc w:val="both"/>
        <w:rPr>
          <w:rFonts w:ascii="Arial" w:hAnsi="Arial" w:cs="Arial"/>
          <w:bCs/>
          <w:sz w:val="20"/>
          <w:szCs w:val="20"/>
        </w:rPr>
      </w:pPr>
    </w:p>
    <w:p w14:paraId="4C124CA7" w14:textId="77777777" w:rsidR="008B655F" w:rsidRPr="000D1A16" w:rsidRDefault="008B655F" w:rsidP="008B655F">
      <w:pPr>
        <w:ind w:left="1134" w:hanging="567"/>
        <w:jc w:val="both"/>
        <w:rPr>
          <w:rFonts w:ascii="Arial" w:hAnsi="Arial" w:cs="Arial"/>
          <w:bCs/>
          <w:sz w:val="20"/>
          <w:szCs w:val="20"/>
        </w:rPr>
      </w:pPr>
      <w:r>
        <w:rPr>
          <w:rFonts w:ascii="Arial" w:hAnsi="Arial" w:cs="Arial"/>
          <w:b/>
          <w:bCs/>
          <w:sz w:val="20"/>
          <w:szCs w:val="20"/>
        </w:rPr>
        <w:t>(i)</w:t>
      </w:r>
      <w:r>
        <w:rPr>
          <w:rFonts w:ascii="Arial" w:hAnsi="Arial" w:cs="Arial"/>
          <w:b/>
          <w:bCs/>
          <w:sz w:val="20"/>
          <w:szCs w:val="20"/>
        </w:rPr>
        <w:tab/>
        <w:t>Accionistas</w:t>
      </w:r>
    </w:p>
    <w:p w14:paraId="75138BF0" w14:textId="77777777" w:rsidR="008B655F" w:rsidRPr="000D1A16" w:rsidRDefault="008B655F" w:rsidP="008B655F">
      <w:pPr>
        <w:ind w:left="1134"/>
        <w:jc w:val="both"/>
        <w:rPr>
          <w:rFonts w:ascii="Arial" w:hAnsi="Arial" w:cs="Arial"/>
          <w:bCs/>
          <w:sz w:val="20"/>
          <w:szCs w:val="20"/>
        </w:rPr>
      </w:pPr>
    </w:p>
    <w:p w14:paraId="09EC7E43" w14:textId="77777777" w:rsidR="008B655F" w:rsidRPr="000D1A16" w:rsidRDefault="008B655F" w:rsidP="008B655F">
      <w:pPr>
        <w:ind w:left="1134"/>
        <w:jc w:val="both"/>
        <w:rPr>
          <w:rFonts w:ascii="Arial" w:hAnsi="Arial" w:cs="Arial"/>
          <w:bCs/>
          <w:sz w:val="20"/>
          <w:szCs w:val="20"/>
        </w:rPr>
      </w:pPr>
      <w:r w:rsidRPr="000D1A16">
        <w:rPr>
          <w:rFonts w:ascii="Arial" w:hAnsi="Arial" w:cs="Arial"/>
          <w:bCs/>
          <w:sz w:val="20"/>
          <w:szCs w:val="20"/>
        </w:rPr>
        <w:t>L</w:t>
      </w:r>
      <w:r>
        <w:rPr>
          <w:rFonts w:ascii="Arial" w:hAnsi="Arial" w:cs="Arial"/>
          <w:bCs/>
          <w:sz w:val="20"/>
          <w:szCs w:val="20"/>
        </w:rPr>
        <w:t xml:space="preserve">os Accionistas </w:t>
      </w:r>
      <w:r w:rsidRPr="000D1A16">
        <w:rPr>
          <w:rFonts w:ascii="Arial" w:hAnsi="Arial" w:cs="Arial"/>
          <w:bCs/>
          <w:sz w:val="20"/>
          <w:szCs w:val="20"/>
        </w:rPr>
        <w:t>son los responsables del enfoque general para el manejo de riesgos y son quienes proporcionan los principios para minimizar los riesgos, así como las políticas para las áreas específicas, como riesgo de tipo de cambio, riesgo de tasa de interés, riesgo de crédito y el uso de instrumentos financieros derivados.</w:t>
      </w:r>
    </w:p>
    <w:p w14:paraId="50B47E6C" w14:textId="77777777" w:rsidR="008B655F" w:rsidRPr="000D1A16" w:rsidRDefault="008B655F" w:rsidP="008B655F">
      <w:pPr>
        <w:ind w:left="1134"/>
        <w:jc w:val="both"/>
        <w:rPr>
          <w:rFonts w:ascii="Arial" w:hAnsi="Arial" w:cs="Arial"/>
          <w:bCs/>
          <w:sz w:val="20"/>
          <w:szCs w:val="20"/>
        </w:rPr>
      </w:pPr>
    </w:p>
    <w:p w14:paraId="3762C3E9" w14:textId="77777777" w:rsidR="008B655F" w:rsidRPr="000D1A16" w:rsidRDefault="008B655F" w:rsidP="008B655F">
      <w:pPr>
        <w:tabs>
          <w:tab w:val="right" w:pos="9072"/>
        </w:tabs>
        <w:ind w:left="1134" w:hanging="567"/>
        <w:jc w:val="both"/>
        <w:rPr>
          <w:rFonts w:ascii="Arial" w:eastAsia="Arial" w:hAnsi="Arial" w:cs="Arial"/>
          <w:sz w:val="20"/>
          <w:szCs w:val="20"/>
        </w:rPr>
      </w:pPr>
      <w:r w:rsidRPr="000D1A16">
        <w:rPr>
          <w:rFonts w:ascii="Arial" w:eastAsia="Arial" w:hAnsi="Arial" w:cs="Arial"/>
          <w:b/>
          <w:sz w:val="20"/>
          <w:szCs w:val="20"/>
        </w:rPr>
        <w:t>(</w:t>
      </w:r>
      <w:proofErr w:type="spellStart"/>
      <w:r w:rsidRPr="000D1A16">
        <w:rPr>
          <w:rFonts w:ascii="Arial" w:eastAsia="Arial" w:hAnsi="Arial" w:cs="Arial"/>
          <w:b/>
          <w:sz w:val="20"/>
          <w:szCs w:val="20"/>
        </w:rPr>
        <w:t>ii</w:t>
      </w:r>
      <w:proofErr w:type="spellEnd"/>
      <w:r w:rsidRPr="000D1A16">
        <w:rPr>
          <w:rFonts w:ascii="Arial" w:eastAsia="Arial" w:hAnsi="Arial" w:cs="Arial"/>
          <w:b/>
          <w:sz w:val="20"/>
          <w:szCs w:val="20"/>
        </w:rPr>
        <w:t>)</w:t>
      </w:r>
      <w:r w:rsidRPr="000D1A16">
        <w:rPr>
          <w:rFonts w:ascii="Arial" w:eastAsia="Arial" w:hAnsi="Arial" w:cs="Arial"/>
          <w:b/>
          <w:sz w:val="20"/>
          <w:szCs w:val="20"/>
        </w:rPr>
        <w:tab/>
        <w:t>Gerencia General</w:t>
      </w:r>
    </w:p>
    <w:p w14:paraId="630290D8" w14:textId="77777777" w:rsidR="008B655F" w:rsidRPr="000D1A16" w:rsidRDefault="008B655F" w:rsidP="008B655F">
      <w:pPr>
        <w:tabs>
          <w:tab w:val="right" w:pos="9072"/>
        </w:tabs>
        <w:ind w:left="1134"/>
        <w:jc w:val="both"/>
        <w:rPr>
          <w:rFonts w:ascii="Arial" w:eastAsia="Arial" w:hAnsi="Arial" w:cs="Arial"/>
          <w:sz w:val="20"/>
          <w:szCs w:val="20"/>
        </w:rPr>
      </w:pPr>
    </w:p>
    <w:p w14:paraId="747B8815" w14:textId="77777777" w:rsidR="008B655F" w:rsidRPr="000D1A16" w:rsidRDefault="008B655F" w:rsidP="008B655F">
      <w:pPr>
        <w:ind w:left="1134"/>
        <w:jc w:val="both"/>
        <w:rPr>
          <w:rFonts w:ascii="Arial" w:hAnsi="Arial" w:cs="Arial"/>
          <w:bCs/>
          <w:sz w:val="20"/>
          <w:szCs w:val="20"/>
        </w:rPr>
      </w:pPr>
      <w:r w:rsidRPr="000D1A16">
        <w:rPr>
          <w:rFonts w:ascii="Arial" w:hAnsi="Arial" w:cs="Arial"/>
          <w:bCs/>
          <w:sz w:val="20"/>
          <w:szCs w:val="20"/>
        </w:rPr>
        <w:t>La Gerencia General es responsable del enfoque general para el manejo de riesgos, la cual proporciona los principios para el manejo de riesgos, así como las políticas elaboradas para áreas específicas, como riesgo de tipo de cambio, riesgo de tasa de interés, riesgo de crédito y el uso de instrumentos financieros derivados.</w:t>
      </w:r>
    </w:p>
    <w:p w14:paraId="422070C2" w14:textId="77777777" w:rsidR="008B655F" w:rsidRPr="000D1A16" w:rsidRDefault="008B655F" w:rsidP="008B655F">
      <w:pPr>
        <w:ind w:left="1134"/>
        <w:jc w:val="both"/>
        <w:rPr>
          <w:rFonts w:ascii="Arial" w:hAnsi="Arial" w:cs="Arial"/>
          <w:bCs/>
          <w:sz w:val="20"/>
          <w:szCs w:val="20"/>
        </w:rPr>
      </w:pPr>
    </w:p>
    <w:p w14:paraId="7192A84D" w14:textId="77777777" w:rsidR="008B655F" w:rsidRPr="000D1A16" w:rsidRDefault="008B655F" w:rsidP="008B655F">
      <w:pPr>
        <w:ind w:left="1134" w:hanging="567"/>
        <w:jc w:val="both"/>
        <w:rPr>
          <w:rFonts w:ascii="Arial" w:hAnsi="Arial" w:cs="Arial"/>
          <w:b/>
          <w:bCs/>
          <w:sz w:val="20"/>
          <w:szCs w:val="20"/>
        </w:rPr>
      </w:pPr>
      <w:r w:rsidRPr="000D1A16">
        <w:rPr>
          <w:rFonts w:ascii="Arial" w:hAnsi="Arial" w:cs="Arial"/>
          <w:b/>
          <w:bCs/>
          <w:sz w:val="20"/>
          <w:szCs w:val="20"/>
        </w:rPr>
        <w:t>(</w:t>
      </w:r>
      <w:proofErr w:type="spellStart"/>
      <w:r w:rsidRPr="000D1A16">
        <w:rPr>
          <w:rFonts w:ascii="Arial" w:hAnsi="Arial" w:cs="Arial"/>
          <w:b/>
          <w:bCs/>
          <w:sz w:val="20"/>
          <w:szCs w:val="20"/>
        </w:rPr>
        <w:t>ii</w:t>
      </w:r>
      <w:proofErr w:type="spellEnd"/>
      <w:r w:rsidRPr="000D1A16">
        <w:rPr>
          <w:rFonts w:ascii="Arial" w:hAnsi="Arial" w:cs="Arial"/>
          <w:b/>
          <w:bCs/>
          <w:sz w:val="20"/>
          <w:szCs w:val="20"/>
        </w:rPr>
        <w:t>)</w:t>
      </w:r>
      <w:r w:rsidRPr="000D1A16">
        <w:rPr>
          <w:rFonts w:ascii="Arial" w:hAnsi="Arial" w:cs="Arial"/>
          <w:b/>
          <w:bCs/>
          <w:sz w:val="20"/>
          <w:szCs w:val="20"/>
        </w:rPr>
        <w:tab/>
        <w:t>Finanzas</w:t>
      </w:r>
    </w:p>
    <w:p w14:paraId="224F8C68" w14:textId="77777777" w:rsidR="008B655F" w:rsidRPr="000D1A16" w:rsidRDefault="008B655F" w:rsidP="008B655F">
      <w:pPr>
        <w:ind w:left="567"/>
        <w:jc w:val="both"/>
        <w:rPr>
          <w:rFonts w:ascii="Arial" w:hAnsi="Arial" w:cs="Arial"/>
          <w:b/>
          <w:bCs/>
          <w:sz w:val="20"/>
          <w:szCs w:val="20"/>
        </w:rPr>
      </w:pPr>
    </w:p>
    <w:p w14:paraId="60CA4420" w14:textId="77777777" w:rsidR="008B655F" w:rsidRPr="000D1A16" w:rsidRDefault="008B655F" w:rsidP="008B655F">
      <w:pPr>
        <w:tabs>
          <w:tab w:val="right" w:pos="9072"/>
        </w:tabs>
        <w:ind w:left="1134"/>
        <w:jc w:val="both"/>
        <w:rPr>
          <w:rFonts w:ascii="Arial" w:eastAsia="Arial" w:hAnsi="Arial" w:cs="Arial"/>
          <w:sz w:val="20"/>
          <w:szCs w:val="20"/>
        </w:rPr>
      </w:pPr>
      <w:r w:rsidRPr="000D1A16">
        <w:rPr>
          <w:rFonts w:ascii="Arial" w:eastAsia="Arial" w:hAnsi="Arial" w:cs="Arial"/>
          <w:sz w:val="20"/>
          <w:szCs w:val="20"/>
        </w:rPr>
        <w:t>El área de Finanzas es responsable del control y administración del flujo de fondos de la Compañía en base a las políticas, procedimientos y límites establecidos por los accionistas, directores y la Gerencia de la Compañía, incluyendo el seguimiento a dichos procedimientos para mejorar la administración de riesgos de la Compañía.</w:t>
      </w:r>
    </w:p>
    <w:p w14:paraId="4AA4715E" w14:textId="77777777" w:rsidR="008B655F" w:rsidRPr="000D1A16" w:rsidRDefault="008B655F" w:rsidP="008B655F">
      <w:pPr>
        <w:tabs>
          <w:tab w:val="right" w:pos="9072"/>
        </w:tabs>
        <w:ind w:left="1134"/>
        <w:jc w:val="both"/>
        <w:rPr>
          <w:rFonts w:ascii="Arial" w:eastAsia="Arial" w:hAnsi="Arial" w:cs="Arial"/>
          <w:sz w:val="20"/>
          <w:szCs w:val="20"/>
        </w:rPr>
      </w:pPr>
    </w:p>
    <w:p w14:paraId="219DF2A6" w14:textId="77777777" w:rsidR="008B655F" w:rsidRPr="000D1A16" w:rsidRDefault="008B655F" w:rsidP="008B655F">
      <w:pPr>
        <w:ind w:left="1134"/>
        <w:jc w:val="both"/>
        <w:rPr>
          <w:rFonts w:ascii="Arial" w:hAnsi="Arial" w:cs="Arial"/>
          <w:sz w:val="20"/>
          <w:szCs w:val="20"/>
        </w:rPr>
      </w:pPr>
      <w:r w:rsidRPr="000D1A16">
        <w:rPr>
          <w:rFonts w:ascii="Arial" w:eastAsia="Arial" w:hAnsi="Arial" w:cs="Arial"/>
          <w:sz w:val="20"/>
          <w:szCs w:val="20"/>
        </w:rPr>
        <w:t xml:space="preserve">La Gerencia financiera coordina el acceso a los mercados financieros nacionales y administra los riesgos financieros. Estos riesgos son: riesgo de mercado (variación de la moneda y la tasa de interés) y riesgo de crédito. El objetivo principal es supervisar y </w:t>
      </w:r>
      <w:r w:rsidRPr="000D1A16">
        <w:rPr>
          <w:rFonts w:ascii="Arial" w:eastAsia="Arial" w:hAnsi="Arial" w:cs="Arial"/>
          <w:sz w:val="20"/>
          <w:szCs w:val="20"/>
        </w:rPr>
        <w:lastRenderedPageBreak/>
        <w:t>mantener una mínima exposición a los riesgos sin utilizar contratos derivados (swaps y forward) y evaluar y controlar los riesgos de crédito y liquidez</w:t>
      </w:r>
      <w:r w:rsidRPr="000D1A16">
        <w:rPr>
          <w:rFonts w:ascii="Arial" w:hAnsi="Arial" w:cs="Arial"/>
          <w:sz w:val="20"/>
          <w:szCs w:val="20"/>
        </w:rPr>
        <w:t>.</w:t>
      </w:r>
    </w:p>
    <w:p w14:paraId="4372996E" w14:textId="77777777" w:rsidR="008B655F" w:rsidRDefault="008B655F" w:rsidP="008B655F">
      <w:pPr>
        <w:ind w:left="1134"/>
        <w:jc w:val="both"/>
        <w:rPr>
          <w:rFonts w:ascii="Arial" w:hAnsi="Arial" w:cs="Arial"/>
          <w:bCs/>
          <w:sz w:val="20"/>
          <w:szCs w:val="20"/>
        </w:rPr>
      </w:pPr>
    </w:p>
    <w:p w14:paraId="1E74E39C" w14:textId="77777777" w:rsidR="008B655F" w:rsidRPr="000D1A16" w:rsidRDefault="008B655F" w:rsidP="008B655F">
      <w:pPr>
        <w:ind w:left="567" w:hanging="567"/>
        <w:jc w:val="both"/>
        <w:rPr>
          <w:rFonts w:ascii="Arial" w:hAnsi="Arial" w:cs="Arial"/>
          <w:b/>
          <w:bCs/>
          <w:sz w:val="20"/>
          <w:szCs w:val="20"/>
        </w:rPr>
      </w:pPr>
      <w:r w:rsidRPr="000D1A16">
        <w:rPr>
          <w:rFonts w:ascii="Arial" w:hAnsi="Arial" w:cs="Arial"/>
          <w:b/>
          <w:bCs/>
          <w:sz w:val="20"/>
          <w:szCs w:val="20"/>
        </w:rPr>
        <w:t>b)</w:t>
      </w:r>
      <w:r w:rsidRPr="000D1A16">
        <w:rPr>
          <w:rFonts w:ascii="Arial" w:hAnsi="Arial" w:cs="Arial"/>
          <w:b/>
          <w:bCs/>
          <w:sz w:val="20"/>
          <w:szCs w:val="20"/>
        </w:rPr>
        <w:tab/>
        <w:t>Mitigación de riesgos</w:t>
      </w:r>
    </w:p>
    <w:p w14:paraId="054C9890" w14:textId="77777777" w:rsidR="008B655F" w:rsidRPr="000D1A16" w:rsidRDefault="008B655F" w:rsidP="008B655F">
      <w:pPr>
        <w:ind w:left="567"/>
        <w:jc w:val="both"/>
        <w:rPr>
          <w:rFonts w:ascii="Arial" w:hAnsi="Arial" w:cs="Arial"/>
          <w:bCs/>
          <w:sz w:val="20"/>
          <w:szCs w:val="20"/>
        </w:rPr>
      </w:pPr>
    </w:p>
    <w:p w14:paraId="66858B53" w14:textId="1D9BFE6E" w:rsidR="008B655F" w:rsidRDefault="008B655F" w:rsidP="008B655F">
      <w:pPr>
        <w:ind w:left="567"/>
        <w:jc w:val="both"/>
        <w:rPr>
          <w:rFonts w:ascii="Arial" w:hAnsi="Arial" w:cs="Arial"/>
          <w:bCs/>
          <w:sz w:val="20"/>
          <w:szCs w:val="20"/>
        </w:rPr>
      </w:pPr>
      <w:r w:rsidRPr="000D1A16">
        <w:rPr>
          <w:rFonts w:ascii="Arial" w:eastAsia="Arial" w:hAnsi="Arial" w:cs="Arial"/>
          <w:sz w:val="20"/>
          <w:szCs w:val="20"/>
        </w:rPr>
        <w:t>La Gerencia General y Financiera identifican, evalúan y cubren los riesgos financieros en coordinación con todos los departamentos</w:t>
      </w:r>
      <w:r w:rsidRPr="000D1A16">
        <w:rPr>
          <w:rFonts w:ascii="Arial" w:hAnsi="Arial" w:cs="Arial"/>
          <w:bCs/>
          <w:sz w:val="20"/>
          <w:szCs w:val="20"/>
        </w:rPr>
        <w:t>.</w:t>
      </w:r>
    </w:p>
    <w:p w14:paraId="047C9476" w14:textId="77777777" w:rsidR="00460544" w:rsidRPr="000D1A16" w:rsidRDefault="00460544" w:rsidP="008B655F">
      <w:pPr>
        <w:ind w:left="567"/>
        <w:jc w:val="both"/>
        <w:rPr>
          <w:rFonts w:ascii="Arial" w:hAnsi="Arial" w:cs="Arial"/>
          <w:bCs/>
          <w:sz w:val="20"/>
          <w:szCs w:val="20"/>
        </w:rPr>
      </w:pPr>
    </w:p>
    <w:p w14:paraId="040FB7A4" w14:textId="77777777" w:rsidR="008B655F" w:rsidRPr="000D1A16" w:rsidRDefault="008B655F" w:rsidP="008B655F">
      <w:pPr>
        <w:ind w:left="567"/>
        <w:jc w:val="both"/>
        <w:rPr>
          <w:rFonts w:ascii="Arial" w:hAnsi="Arial" w:cs="Arial"/>
          <w:b/>
          <w:bCs/>
          <w:sz w:val="20"/>
          <w:szCs w:val="20"/>
        </w:rPr>
      </w:pPr>
      <w:r w:rsidRPr="000D1A16">
        <w:rPr>
          <w:rFonts w:ascii="Arial" w:hAnsi="Arial" w:cs="Arial"/>
          <w:b/>
          <w:bCs/>
          <w:sz w:val="20"/>
          <w:szCs w:val="20"/>
        </w:rPr>
        <w:t>Riesgo de mercado</w:t>
      </w:r>
    </w:p>
    <w:p w14:paraId="6A04C9C5" w14:textId="77777777" w:rsidR="008B655F" w:rsidRPr="000D1A16" w:rsidRDefault="008B655F" w:rsidP="008B655F">
      <w:pPr>
        <w:ind w:left="567"/>
        <w:jc w:val="both"/>
        <w:rPr>
          <w:rFonts w:ascii="Arial" w:hAnsi="Arial" w:cs="Arial"/>
          <w:bCs/>
          <w:sz w:val="20"/>
          <w:szCs w:val="20"/>
        </w:rPr>
      </w:pPr>
    </w:p>
    <w:p w14:paraId="54BD7770" w14:textId="77777777"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mercado controla el valor justo de los instrumentos financieros y de los servicios que se comercializan; por los cambios en los precios de mercado, los cuales dependen de las variaciones de la tasa de interés, tasa de cambio, competidores, factores climáticos, tecnológicos y otros riesgos de precios, entre los cuales está el riesgo de patrimonio. Los instrumentos financieros afectados por el riesgo de mercado incluyen los depósitos en bancos, las obligaciones con bancos y la comercialización de su servicio principal por el incremento de la competencia o cambios en la tecnología.</w:t>
      </w:r>
    </w:p>
    <w:p w14:paraId="039BDA9C" w14:textId="77777777" w:rsidR="008B655F" w:rsidRDefault="008B655F" w:rsidP="008B655F">
      <w:pPr>
        <w:jc w:val="both"/>
        <w:rPr>
          <w:rFonts w:ascii="Arial" w:hAnsi="Arial" w:cs="Arial"/>
          <w:b/>
          <w:bCs/>
          <w:sz w:val="20"/>
          <w:szCs w:val="20"/>
        </w:rPr>
      </w:pPr>
    </w:p>
    <w:p w14:paraId="0D1E3AC3" w14:textId="77777777" w:rsidR="008B655F" w:rsidRPr="000D1A16" w:rsidRDefault="008B655F" w:rsidP="008B655F">
      <w:pPr>
        <w:ind w:left="567"/>
        <w:jc w:val="both"/>
        <w:rPr>
          <w:rFonts w:ascii="Arial" w:hAnsi="Arial" w:cs="Arial"/>
          <w:bCs/>
          <w:sz w:val="20"/>
          <w:szCs w:val="20"/>
        </w:rPr>
      </w:pPr>
      <w:r w:rsidRPr="000D1A16">
        <w:rPr>
          <w:rFonts w:ascii="Arial" w:hAnsi="Arial" w:cs="Arial"/>
          <w:b/>
          <w:bCs/>
          <w:sz w:val="20"/>
          <w:szCs w:val="20"/>
        </w:rPr>
        <w:t>Riesgo de tasa de interés</w:t>
      </w:r>
    </w:p>
    <w:p w14:paraId="5BC10522" w14:textId="77777777" w:rsidR="008B655F" w:rsidRPr="000D1A16" w:rsidRDefault="008B655F" w:rsidP="008B655F">
      <w:pPr>
        <w:ind w:left="567"/>
        <w:jc w:val="both"/>
        <w:rPr>
          <w:rFonts w:ascii="Arial" w:hAnsi="Arial" w:cs="Arial"/>
          <w:bCs/>
          <w:sz w:val="20"/>
          <w:szCs w:val="20"/>
        </w:rPr>
      </w:pPr>
    </w:p>
    <w:p w14:paraId="16EECF55" w14:textId="77777777"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la tasa de interés permite evaluar y monitorear el valor justo de los instrumentos financieros, debido a cambios en las tasas de interés de mercado. La exposición de la Compañía al riesgo de cambios en las tasas de interés del mercado está principalmente relacionada con las obligaciones de la Compañía de deuda de largo plazo por las tasas de interés variables.</w:t>
      </w:r>
    </w:p>
    <w:p w14:paraId="6294AB85" w14:textId="77777777" w:rsidR="008B655F" w:rsidRPr="000D1A16" w:rsidRDefault="008B655F" w:rsidP="008B655F">
      <w:pPr>
        <w:ind w:left="567"/>
        <w:jc w:val="both"/>
        <w:rPr>
          <w:rFonts w:ascii="Arial" w:hAnsi="Arial" w:cs="Arial"/>
          <w:bCs/>
          <w:sz w:val="20"/>
          <w:szCs w:val="20"/>
        </w:rPr>
      </w:pPr>
    </w:p>
    <w:p w14:paraId="7C84FDA1" w14:textId="77777777"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La compañía evalúa periódicamente la exposición de la deuda de corto y largo plazo frente a los cambios en la tasa de interés, considerando sus expectativas propias respecto de la evolución futura de tasas.</w:t>
      </w:r>
    </w:p>
    <w:p w14:paraId="15031469" w14:textId="77777777" w:rsidR="00A7789D" w:rsidRPr="000D1A16" w:rsidRDefault="00A7789D" w:rsidP="008B655F">
      <w:pPr>
        <w:jc w:val="both"/>
        <w:rPr>
          <w:rFonts w:ascii="Arial" w:eastAsia="Arial" w:hAnsi="Arial" w:cs="Arial"/>
          <w:sz w:val="20"/>
          <w:szCs w:val="20"/>
        </w:rPr>
      </w:pPr>
    </w:p>
    <w:p w14:paraId="3232AAA1" w14:textId="77777777" w:rsidR="008B655F" w:rsidRPr="000D1A16" w:rsidRDefault="008B655F" w:rsidP="008B655F">
      <w:pPr>
        <w:ind w:left="567"/>
        <w:jc w:val="both"/>
        <w:rPr>
          <w:rFonts w:ascii="Arial" w:hAnsi="Arial" w:cs="Arial"/>
          <w:bCs/>
          <w:sz w:val="20"/>
          <w:szCs w:val="20"/>
        </w:rPr>
      </w:pPr>
      <w:r w:rsidRPr="000D1A16">
        <w:rPr>
          <w:rFonts w:ascii="Arial" w:hAnsi="Arial" w:cs="Arial"/>
          <w:b/>
          <w:bCs/>
          <w:sz w:val="20"/>
          <w:szCs w:val="20"/>
        </w:rPr>
        <w:t>Riesgo de tipo de cambio</w:t>
      </w:r>
    </w:p>
    <w:p w14:paraId="4618CE22" w14:textId="77777777" w:rsidR="00B24990" w:rsidRDefault="00B24990" w:rsidP="008B655F">
      <w:pPr>
        <w:ind w:left="567"/>
        <w:jc w:val="both"/>
        <w:rPr>
          <w:rFonts w:ascii="Arial" w:hAnsi="Arial" w:cs="Arial"/>
          <w:bCs/>
          <w:sz w:val="20"/>
          <w:szCs w:val="20"/>
        </w:rPr>
      </w:pPr>
    </w:p>
    <w:p w14:paraId="5CC8BBF4" w14:textId="7630B83C"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tipo de cambio es el riesgo de que el valor razonable o flujos de caja futuros de un instrumento financiero fluctúen debido a cambios en los tipos de cambio. La Compañía realiza sus operaciones principales en dólares de los Estados Unidos de Norteamérica, moneda de curso legal en el país, por lo tanto, no se presentan efectos por variaciones de tipos de cambio en los estados financieros.</w:t>
      </w:r>
    </w:p>
    <w:p w14:paraId="1BDF54D6" w14:textId="77777777" w:rsidR="008B655F" w:rsidRDefault="008B655F" w:rsidP="008B655F">
      <w:pPr>
        <w:tabs>
          <w:tab w:val="left" w:pos="567"/>
        </w:tabs>
        <w:ind w:left="567"/>
        <w:jc w:val="both"/>
        <w:rPr>
          <w:rFonts w:ascii="Arial" w:hAnsi="Arial" w:cs="Arial"/>
          <w:b/>
          <w:bCs/>
          <w:sz w:val="20"/>
          <w:szCs w:val="20"/>
        </w:rPr>
      </w:pPr>
    </w:p>
    <w:p w14:paraId="61C65D5F" w14:textId="77777777" w:rsidR="008B655F" w:rsidRPr="000D1A16" w:rsidRDefault="008B655F" w:rsidP="008B655F">
      <w:pPr>
        <w:tabs>
          <w:tab w:val="left" w:pos="567"/>
        </w:tabs>
        <w:ind w:left="567"/>
        <w:jc w:val="both"/>
        <w:rPr>
          <w:rFonts w:ascii="Arial" w:hAnsi="Arial" w:cs="Arial"/>
          <w:b/>
          <w:bCs/>
          <w:sz w:val="20"/>
          <w:szCs w:val="20"/>
        </w:rPr>
      </w:pPr>
      <w:r w:rsidRPr="000D1A16">
        <w:rPr>
          <w:rFonts w:ascii="Arial" w:hAnsi="Arial" w:cs="Arial"/>
          <w:b/>
          <w:bCs/>
          <w:sz w:val="20"/>
          <w:szCs w:val="20"/>
        </w:rPr>
        <w:t>Riesgo de liquidez</w:t>
      </w:r>
    </w:p>
    <w:p w14:paraId="11F8F83B" w14:textId="77777777" w:rsidR="008B655F" w:rsidRPr="000D1A16" w:rsidRDefault="008B655F" w:rsidP="008B655F">
      <w:pPr>
        <w:tabs>
          <w:tab w:val="left" w:pos="567"/>
        </w:tabs>
        <w:ind w:left="567"/>
        <w:jc w:val="both"/>
        <w:rPr>
          <w:rFonts w:ascii="Arial" w:hAnsi="Arial" w:cs="Arial"/>
          <w:bCs/>
          <w:sz w:val="20"/>
          <w:szCs w:val="20"/>
        </w:rPr>
      </w:pPr>
    </w:p>
    <w:p w14:paraId="1757A66F" w14:textId="77777777"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El riesgo de liquidez es el riesgo de que la Compañía no pueda cumplir con sus obligaciones de pago relacionadas con pasivos financieros al vencimiento y reemplazar los fondos cuando sean retirados. La consecuencia sería el incumplimiento en el pago de sus obligaciones frente a terceros.</w:t>
      </w:r>
    </w:p>
    <w:p w14:paraId="1898B03E" w14:textId="77777777" w:rsidR="008B655F" w:rsidRPr="000D1A16" w:rsidRDefault="008B655F" w:rsidP="008B655F">
      <w:pPr>
        <w:tabs>
          <w:tab w:val="right" w:pos="9072"/>
        </w:tabs>
        <w:ind w:left="567"/>
        <w:jc w:val="both"/>
        <w:rPr>
          <w:rFonts w:ascii="Arial" w:eastAsia="Arial" w:hAnsi="Arial" w:cs="Arial"/>
          <w:sz w:val="20"/>
          <w:szCs w:val="20"/>
        </w:rPr>
      </w:pPr>
    </w:p>
    <w:p w14:paraId="34ADEBAD" w14:textId="77777777"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La liquidez se controla a través del cruce de los vencimientos de sus activos y pasivos, de la obtención de líneas de crédito y/o manteniendo los excedentes de liquidez, lo cual le permite a la Compañía desarrollar sus actividades normalmente.</w:t>
      </w:r>
    </w:p>
    <w:p w14:paraId="0F372BAF" w14:textId="77777777" w:rsidR="008B655F" w:rsidRPr="000D1A16" w:rsidRDefault="008B655F" w:rsidP="008B655F">
      <w:pPr>
        <w:tabs>
          <w:tab w:val="right" w:pos="9072"/>
        </w:tabs>
        <w:ind w:left="567"/>
        <w:jc w:val="both"/>
        <w:rPr>
          <w:rFonts w:ascii="Arial" w:eastAsia="Arial" w:hAnsi="Arial" w:cs="Arial"/>
          <w:sz w:val="20"/>
          <w:szCs w:val="20"/>
        </w:rPr>
      </w:pPr>
    </w:p>
    <w:p w14:paraId="52939843" w14:textId="77777777"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La administración del riesgo de liquidez implica mantener suficiente efectivo y disponibilidad de financiamiento, a través de una adecuada cantidad de fuentes de crédito comprometidas y la capacidad de liquidar transacciones principalmente de endeudamiento. Al respecto, la Gerencia de la Compañía orienta sus esfuerzos a mantener fuentes de financiamiento a través de la disponibilidad de líneas de crédito.</w:t>
      </w:r>
    </w:p>
    <w:p w14:paraId="03452B52" w14:textId="77777777" w:rsidR="008B655F" w:rsidRPr="000D1A16" w:rsidRDefault="008B655F" w:rsidP="008B655F">
      <w:pPr>
        <w:tabs>
          <w:tab w:val="right" w:pos="9072"/>
        </w:tabs>
        <w:ind w:left="567"/>
        <w:jc w:val="both"/>
        <w:rPr>
          <w:rFonts w:ascii="Arial" w:eastAsia="Arial" w:hAnsi="Arial" w:cs="Arial"/>
          <w:sz w:val="20"/>
          <w:szCs w:val="20"/>
        </w:rPr>
      </w:pPr>
    </w:p>
    <w:p w14:paraId="45333B16" w14:textId="77777777" w:rsidR="008B655F" w:rsidRPr="000D1A16" w:rsidRDefault="008B655F" w:rsidP="008B655F">
      <w:pPr>
        <w:tabs>
          <w:tab w:val="left" w:pos="567"/>
        </w:tabs>
        <w:ind w:left="567"/>
        <w:jc w:val="both"/>
        <w:rPr>
          <w:rFonts w:ascii="Arial" w:hAnsi="Arial" w:cs="Arial"/>
          <w:bCs/>
          <w:sz w:val="20"/>
          <w:szCs w:val="20"/>
        </w:rPr>
      </w:pPr>
      <w:r w:rsidRPr="000D1A16">
        <w:rPr>
          <w:rFonts w:ascii="Arial" w:hAnsi="Arial" w:cs="Arial"/>
          <w:b/>
          <w:bCs/>
          <w:sz w:val="20"/>
          <w:szCs w:val="20"/>
        </w:rPr>
        <w:lastRenderedPageBreak/>
        <w:t>Riesgo de gestión de capital</w:t>
      </w:r>
    </w:p>
    <w:p w14:paraId="596E9B20" w14:textId="77777777" w:rsidR="008B655F" w:rsidRPr="000D1A16" w:rsidRDefault="008B655F" w:rsidP="008B655F">
      <w:pPr>
        <w:tabs>
          <w:tab w:val="left" w:pos="567"/>
        </w:tabs>
        <w:ind w:left="567"/>
        <w:jc w:val="both"/>
        <w:rPr>
          <w:rFonts w:ascii="Arial" w:hAnsi="Arial" w:cs="Arial"/>
          <w:bCs/>
          <w:sz w:val="20"/>
          <w:szCs w:val="20"/>
        </w:rPr>
      </w:pPr>
    </w:p>
    <w:p w14:paraId="0341F631"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 xml:space="preserve">La Compañía administra de manera activa una base de capital para cubrir los riesgos inherentes en sus actividades. La adecuación del capital de la Compañía es monitoreada usando, entre otras medidas, los </w:t>
      </w:r>
      <w:proofErr w:type="gramStart"/>
      <w:r w:rsidRPr="000D1A16">
        <w:rPr>
          <w:rFonts w:ascii="Arial" w:eastAsia="Arial" w:hAnsi="Arial" w:cs="Arial"/>
          <w:sz w:val="20"/>
          <w:szCs w:val="20"/>
        </w:rPr>
        <w:t>ratios establecidos</w:t>
      </w:r>
      <w:proofErr w:type="gramEnd"/>
      <w:r w:rsidRPr="000D1A16">
        <w:rPr>
          <w:rFonts w:ascii="Arial" w:eastAsia="Arial" w:hAnsi="Arial" w:cs="Arial"/>
          <w:sz w:val="20"/>
          <w:szCs w:val="20"/>
        </w:rPr>
        <w:t xml:space="preserve"> por la gerencia.</w:t>
      </w:r>
    </w:p>
    <w:p w14:paraId="148E67EE" w14:textId="77777777" w:rsidR="008B655F" w:rsidRPr="000D1A16" w:rsidRDefault="008B655F" w:rsidP="008B655F">
      <w:pPr>
        <w:ind w:left="567"/>
        <w:jc w:val="both"/>
        <w:rPr>
          <w:rFonts w:ascii="Arial" w:eastAsia="Arial" w:hAnsi="Arial" w:cs="Arial"/>
          <w:sz w:val="20"/>
          <w:szCs w:val="20"/>
        </w:rPr>
      </w:pPr>
    </w:p>
    <w:p w14:paraId="3635DCCC"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 xml:space="preserve">Los objetivos de la Compañía cuando maneja capital, que es un concepto más amplio que el “Patrimonio neto” que se muestra en el balance general son: </w:t>
      </w:r>
    </w:p>
    <w:p w14:paraId="60CE96A2" w14:textId="67A92B37" w:rsidR="008B655F" w:rsidRPr="000D1A16" w:rsidRDefault="008B655F" w:rsidP="008B655F">
      <w:pPr>
        <w:ind w:left="1134" w:hanging="567"/>
        <w:jc w:val="both"/>
        <w:rPr>
          <w:rFonts w:ascii="Arial" w:eastAsia="Arial" w:hAnsi="Arial" w:cs="Arial"/>
          <w:sz w:val="20"/>
          <w:szCs w:val="20"/>
        </w:rPr>
      </w:pPr>
      <w:r w:rsidRPr="000D1A16">
        <w:rPr>
          <w:rFonts w:ascii="Arial" w:eastAsia="Arial" w:hAnsi="Arial" w:cs="Arial"/>
          <w:sz w:val="20"/>
          <w:szCs w:val="20"/>
        </w:rPr>
        <w:t>(i)</w:t>
      </w:r>
      <w:r w:rsidRPr="000D1A16">
        <w:rPr>
          <w:rFonts w:ascii="Arial" w:eastAsia="Arial" w:hAnsi="Arial" w:cs="Arial"/>
          <w:sz w:val="20"/>
          <w:szCs w:val="20"/>
        </w:rPr>
        <w:tab/>
        <w:t>Salvaguardar la capacidad de la Compañía para continuar operando</w:t>
      </w:r>
      <w:r w:rsidR="001B68C1">
        <w:rPr>
          <w:rFonts w:ascii="Arial" w:eastAsia="Arial" w:hAnsi="Arial" w:cs="Arial"/>
          <w:sz w:val="20"/>
          <w:szCs w:val="20"/>
        </w:rPr>
        <w:t>,</w:t>
      </w:r>
      <w:r w:rsidRPr="000D1A16">
        <w:rPr>
          <w:rFonts w:ascii="Arial" w:eastAsia="Arial" w:hAnsi="Arial" w:cs="Arial"/>
          <w:sz w:val="20"/>
          <w:szCs w:val="20"/>
        </w:rPr>
        <w:t xml:space="preserve"> brinda</w:t>
      </w:r>
      <w:r w:rsidR="001B68C1">
        <w:rPr>
          <w:rFonts w:ascii="Arial" w:eastAsia="Arial" w:hAnsi="Arial" w:cs="Arial"/>
          <w:sz w:val="20"/>
          <w:szCs w:val="20"/>
        </w:rPr>
        <w:t>r</w:t>
      </w:r>
      <w:r w:rsidRPr="000D1A16">
        <w:rPr>
          <w:rFonts w:ascii="Arial" w:eastAsia="Arial" w:hAnsi="Arial" w:cs="Arial"/>
          <w:sz w:val="20"/>
          <w:szCs w:val="20"/>
        </w:rPr>
        <w:t xml:space="preserve"> retornos a los socios y beneficios a los otros participantes; y </w:t>
      </w:r>
    </w:p>
    <w:p w14:paraId="7075AA74" w14:textId="77777777" w:rsidR="008B655F" w:rsidRPr="000D1A16" w:rsidRDefault="008B655F" w:rsidP="008B655F">
      <w:pPr>
        <w:ind w:left="1134" w:hanging="567"/>
        <w:jc w:val="both"/>
        <w:rPr>
          <w:rFonts w:ascii="Arial" w:eastAsia="Arial" w:hAnsi="Arial" w:cs="Arial"/>
          <w:sz w:val="20"/>
          <w:szCs w:val="20"/>
        </w:rPr>
      </w:pPr>
      <w:r w:rsidRPr="000D1A16">
        <w:rPr>
          <w:rFonts w:ascii="Arial" w:eastAsia="Arial" w:hAnsi="Arial" w:cs="Arial"/>
          <w:sz w:val="20"/>
          <w:szCs w:val="20"/>
        </w:rPr>
        <w:t>(</w:t>
      </w:r>
      <w:proofErr w:type="spellStart"/>
      <w:r w:rsidRPr="000D1A16">
        <w:rPr>
          <w:rFonts w:ascii="Arial" w:eastAsia="Arial" w:hAnsi="Arial" w:cs="Arial"/>
          <w:sz w:val="20"/>
          <w:szCs w:val="20"/>
        </w:rPr>
        <w:t>ii</w:t>
      </w:r>
      <w:proofErr w:type="spellEnd"/>
      <w:r w:rsidRPr="000D1A16">
        <w:rPr>
          <w:rFonts w:ascii="Arial" w:eastAsia="Arial" w:hAnsi="Arial" w:cs="Arial"/>
          <w:sz w:val="20"/>
          <w:szCs w:val="20"/>
        </w:rPr>
        <w:t>)</w:t>
      </w:r>
      <w:r w:rsidRPr="000D1A16">
        <w:rPr>
          <w:rFonts w:ascii="Arial" w:eastAsia="Arial" w:hAnsi="Arial" w:cs="Arial"/>
          <w:sz w:val="20"/>
          <w:szCs w:val="20"/>
        </w:rPr>
        <w:tab/>
        <w:t xml:space="preserve">Mantener una fuerte base de capital para apoyar el desarrollo de sus actividades. </w:t>
      </w:r>
    </w:p>
    <w:p w14:paraId="62AFB08B" w14:textId="77777777" w:rsidR="00460544" w:rsidRDefault="00460544" w:rsidP="008B655F">
      <w:pPr>
        <w:ind w:left="567"/>
        <w:jc w:val="both"/>
        <w:rPr>
          <w:rFonts w:ascii="Arial" w:eastAsia="Arial" w:hAnsi="Arial" w:cs="Arial"/>
          <w:sz w:val="20"/>
          <w:szCs w:val="20"/>
        </w:rPr>
      </w:pPr>
    </w:p>
    <w:p w14:paraId="6D1909AB" w14:textId="0A244022" w:rsidR="008B655F" w:rsidRDefault="00C971F4" w:rsidP="008B655F">
      <w:pPr>
        <w:ind w:left="567"/>
        <w:jc w:val="both"/>
        <w:rPr>
          <w:rFonts w:ascii="Arial" w:eastAsia="Arial" w:hAnsi="Arial" w:cs="Arial"/>
          <w:sz w:val="20"/>
          <w:szCs w:val="20"/>
        </w:rPr>
      </w:pPr>
      <w:r>
        <w:rPr>
          <w:rFonts w:ascii="Arial" w:eastAsia="Arial" w:hAnsi="Arial" w:cs="Arial"/>
          <w:sz w:val="20"/>
          <w:szCs w:val="20"/>
        </w:rPr>
        <w:t xml:space="preserve">Al 31 de diciembre de </w:t>
      </w:r>
      <w:r w:rsidR="00C03AB5">
        <w:rPr>
          <w:rFonts w:ascii="Arial" w:eastAsia="Arial" w:hAnsi="Arial" w:cs="Arial"/>
          <w:sz w:val="20"/>
          <w:szCs w:val="20"/>
        </w:rPr>
        <w:t>2024</w:t>
      </w:r>
      <w:r>
        <w:rPr>
          <w:rFonts w:ascii="Arial" w:eastAsia="Arial" w:hAnsi="Arial" w:cs="Arial"/>
          <w:sz w:val="20"/>
          <w:szCs w:val="20"/>
        </w:rPr>
        <w:t xml:space="preserve"> y </w:t>
      </w:r>
      <w:r w:rsidR="00C03AB5">
        <w:rPr>
          <w:rFonts w:ascii="Arial" w:eastAsia="Arial" w:hAnsi="Arial" w:cs="Arial"/>
          <w:sz w:val="20"/>
          <w:szCs w:val="20"/>
        </w:rPr>
        <w:t>2023</w:t>
      </w:r>
      <w:r w:rsidR="008B655F" w:rsidRPr="000D1A16">
        <w:rPr>
          <w:rFonts w:ascii="Arial" w:eastAsia="Arial" w:hAnsi="Arial" w:cs="Arial"/>
          <w:sz w:val="20"/>
          <w:szCs w:val="20"/>
        </w:rPr>
        <w:t>, no han existido cambios en las actividades y políticas de m</w:t>
      </w:r>
      <w:r w:rsidR="006D1876">
        <w:rPr>
          <w:rFonts w:ascii="Arial" w:eastAsia="Arial" w:hAnsi="Arial" w:cs="Arial"/>
          <w:sz w:val="20"/>
          <w:szCs w:val="20"/>
        </w:rPr>
        <w:t>anejo de capital en la Compañía</w:t>
      </w:r>
      <w:r w:rsidR="001B68C1">
        <w:rPr>
          <w:rFonts w:ascii="Arial" w:eastAsia="Arial" w:hAnsi="Arial" w:cs="Arial"/>
          <w:sz w:val="20"/>
          <w:szCs w:val="20"/>
        </w:rPr>
        <w:t>.</w:t>
      </w:r>
    </w:p>
    <w:p w14:paraId="2BBD05C2" w14:textId="0D92C02B" w:rsidR="00460544" w:rsidRDefault="00460544" w:rsidP="008B655F">
      <w:pPr>
        <w:ind w:left="567"/>
        <w:jc w:val="both"/>
        <w:rPr>
          <w:rFonts w:ascii="Arial" w:eastAsia="Arial" w:hAnsi="Arial" w:cs="Arial"/>
          <w:sz w:val="20"/>
          <w:szCs w:val="20"/>
        </w:rPr>
      </w:pPr>
    </w:p>
    <w:p w14:paraId="11091DE4" w14:textId="77777777" w:rsidR="00460544" w:rsidRPr="000D1A16" w:rsidRDefault="00460544" w:rsidP="00460544">
      <w:pPr>
        <w:ind w:left="567"/>
        <w:jc w:val="both"/>
        <w:rPr>
          <w:rFonts w:ascii="Arial" w:hAnsi="Arial" w:cs="Arial"/>
          <w:bCs/>
          <w:sz w:val="20"/>
          <w:szCs w:val="20"/>
        </w:rPr>
      </w:pPr>
      <w:r w:rsidRPr="000D1A16">
        <w:rPr>
          <w:rFonts w:ascii="Arial" w:eastAsia="Arial" w:hAnsi="Arial" w:cs="Arial"/>
          <w:sz w:val="20"/>
          <w:szCs w:val="20"/>
        </w:rPr>
        <w:t>El índice deuda-patrimonio, neto ajustado de la Com</w:t>
      </w:r>
      <w:r>
        <w:rPr>
          <w:rFonts w:ascii="Arial" w:eastAsia="Arial" w:hAnsi="Arial" w:cs="Arial"/>
          <w:sz w:val="20"/>
          <w:szCs w:val="20"/>
        </w:rPr>
        <w:t>pañía al 31 de diciembre de 2024 y 2023</w:t>
      </w:r>
      <w:r w:rsidRPr="000D1A16">
        <w:rPr>
          <w:rFonts w:ascii="Arial" w:eastAsia="Arial" w:hAnsi="Arial" w:cs="Arial"/>
          <w:sz w:val="20"/>
          <w:szCs w:val="20"/>
        </w:rPr>
        <w:t xml:space="preserve"> es como sigue</w:t>
      </w:r>
      <w:r w:rsidRPr="000D1A16">
        <w:rPr>
          <w:rFonts w:ascii="Arial" w:hAnsi="Arial" w:cs="Arial"/>
          <w:bCs/>
          <w:sz w:val="20"/>
          <w:szCs w:val="20"/>
        </w:rPr>
        <w:t>:</w:t>
      </w:r>
    </w:p>
    <w:bookmarkStart w:id="133" w:name="_MON_1649510659"/>
    <w:bookmarkEnd w:id="133"/>
    <w:p w14:paraId="25CC6CDA" w14:textId="015DDB29" w:rsidR="00460544" w:rsidRPr="000D1A16" w:rsidRDefault="00460544" w:rsidP="00460544">
      <w:pPr>
        <w:ind w:left="567"/>
        <w:jc w:val="both"/>
        <w:rPr>
          <w:rFonts w:ascii="Arial" w:hAnsi="Arial" w:cs="Arial"/>
          <w:bCs/>
          <w:sz w:val="20"/>
          <w:szCs w:val="20"/>
        </w:rPr>
      </w:pPr>
      <w:r w:rsidRPr="000D1A16">
        <w:rPr>
          <w:rFonts w:ascii="Arial" w:hAnsi="Arial" w:cs="Arial"/>
          <w:bCs/>
          <w:sz w:val="20"/>
          <w:szCs w:val="20"/>
        </w:rPr>
        <w:object w:dxaOrig="7666" w:dyaOrig="2174" w14:anchorId="06B2B652">
          <v:shape id="_x0000_i1141" type="#_x0000_t75" style="width:383.4pt;height:113.4pt" o:ole="">
            <v:imagedata r:id="rId44" o:title=""/>
          </v:shape>
          <o:OLEObject Type="Embed" ProgID="Excel.Sheet.12" ShapeID="_x0000_i1141" DrawAspect="Content" ObjectID="_1807083705" r:id="rId45"/>
        </w:object>
      </w:r>
    </w:p>
    <w:p w14:paraId="7494C3C1" w14:textId="77777777" w:rsidR="008B655F" w:rsidRPr="000D1A16" w:rsidRDefault="008B655F" w:rsidP="008B655F">
      <w:pPr>
        <w:ind w:left="567"/>
        <w:jc w:val="both"/>
        <w:rPr>
          <w:rFonts w:ascii="Arial" w:eastAsia="Arial" w:hAnsi="Arial" w:cs="Arial"/>
          <w:sz w:val="20"/>
          <w:szCs w:val="20"/>
        </w:rPr>
      </w:pPr>
    </w:p>
    <w:p w14:paraId="2A21C13F" w14:textId="77777777" w:rsidR="008B655F" w:rsidRPr="000D1A16" w:rsidRDefault="008B655F" w:rsidP="008B655F">
      <w:pPr>
        <w:ind w:left="567"/>
        <w:jc w:val="both"/>
        <w:rPr>
          <w:rFonts w:ascii="Arial" w:hAnsi="Arial" w:cs="Arial"/>
          <w:b/>
          <w:bCs/>
          <w:sz w:val="20"/>
          <w:szCs w:val="20"/>
        </w:rPr>
      </w:pPr>
      <w:r w:rsidRPr="000D1A16">
        <w:rPr>
          <w:rFonts w:ascii="Arial" w:hAnsi="Arial" w:cs="Arial"/>
          <w:b/>
          <w:bCs/>
          <w:sz w:val="20"/>
          <w:szCs w:val="20"/>
        </w:rPr>
        <w:t>Riesgo de crédito</w:t>
      </w:r>
    </w:p>
    <w:p w14:paraId="6BFF4854" w14:textId="77777777" w:rsidR="008B655F" w:rsidRPr="000D1A16" w:rsidRDefault="008B655F" w:rsidP="008B655F">
      <w:pPr>
        <w:ind w:left="567"/>
        <w:jc w:val="both"/>
        <w:rPr>
          <w:rFonts w:ascii="Arial" w:hAnsi="Arial" w:cs="Arial"/>
          <w:bCs/>
          <w:sz w:val="20"/>
          <w:szCs w:val="20"/>
        </w:rPr>
      </w:pPr>
    </w:p>
    <w:p w14:paraId="3B86C0D1"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está expuesta a riesgo crediticio por sus actividades operacionales principalmente por el efectivo y equivalentes de efectivo- depósitos con bancos, inversiones, cuentas por cobrar clientes y otras cuentas por cobrar y otros instrumentos financieros.</w:t>
      </w:r>
    </w:p>
    <w:p w14:paraId="3B9FE6F8" w14:textId="77777777" w:rsidR="008B655F" w:rsidRPr="000D1A16" w:rsidRDefault="008B655F" w:rsidP="008B655F">
      <w:pPr>
        <w:ind w:left="567"/>
        <w:jc w:val="both"/>
        <w:rPr>
          <w:rFonts w:ascii="Arial" w:eastAsia="Arial" w:hAnsi="Arial" w:cs="Arial"/>
          <w:sz w:val="20"/>
          <w:szCs w:val="20"/>
        </w:rPr>
      </w:pPr>
    </w:p>
    <w:p w14:paraId="006C9828"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En lo referente al efectivo y otros equivalentes de efectivo en bancos e instituciones financieras y que corresponden a operaciones de corto plazo y de liquidez inmediata, el riesgo se monitorea a través de las calificaciones requeridas por los Organismos de Control, las cuales son periódicas y son realizadas por terceros (independientes) especializados y calificados por los entes de control.</w:t>
      </w:r>
    </w:p>
    <w:p w14:paraId="6115E4C3" w14:textId="77777777" w:rsidR="008B655F" w:rsidRPr="000D1A16" w:rsidRDefault="008B655F" w:rsidP="008B655F">
      <w:pPr>
        <w:ind w:left="567"/>
        <w:jc w:val="both"/>
        <w:rPr>
          <w:rFonts w:ascii="Arial" w:eastAsia="Arial" w:hAnsi="Arial" w:cs="Arial"/>
          <w:sz w:val="20"/>
          <w:szCs w:val="20"/>
        </w:rPr>
      </w:pPr>
    </w:p>
    <w:p w14:paraId="1FF5E974"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El riesgo crediticio es administrado de acuerdo a las políticas, procedimientos y controles establecidos por la Compañía. La calidad crediticia del cliente se evalúa en forma permanente. Los cobros pendientes de los clientes son supervisados. La máxima exposición al riesgo crediticio a la fecha de presentación del informe es el valor de cada clase de activos financieros.</w:t>
      </w:r>
    </w:p>
    <w:p w14:paraId="3809D990"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ha establecido una política de riesgo, para el otorgamiento de créditos a los clientes que incluye:</w:t>
      </w:r>
    </w:p>
    <w:p w14:paraId="6CEC3BA8" w14:textId="77777777" w:rsidR="008B655F" w:rsidRPr="000D1A16" w:rsidRDefault="008B655F" w:rsidP="008B655F">
      <w:pPr>
        <w:jc w:val="both"/>
        <w:rPr>
          <w:rFonts w:ascii="Arial" w:eastAsia="Arial" w:hAnsi="Arial" w:cs="Arial"/>
          <w:sz w:val="20"/>
          <w:szCs w:val="20"/>
        </w:rPr>
      </w:pPr>
    </w:p>
    <w:p w14:paraId="3DB98DC6" w14:textId="77777777" w:rsidR="008B655F" w:rsidRPr="000D1A16" w:rsidRDefault="008B655F" w:rsidP="00161D0E">
      <w:pPr>
        <w:pStyle w:val="Prrafodelista"/>
        <w:keepNext/>
        <w:numPr>
          <w:ilvl w:val="0"/>
          <w:numId w:val="12"/>
        </w:numPr>
        <w:tabs>
          <w:tab w:val="left" w:pos="-720"/>
        </w:tabs>
        <w:spacing w:before="0" w:after="0"/>
        <w:ind w:left="993" w:hanging="426"/>
        <w:rPr>
          <w:rFonts w:ascii="Arial" w:eastAsia="Arial" w:hAnsi="Arial" w:cs="Arial"/>
          <w:sz w:val="20"/>
          <w:szCs w:val="20"/>
        </w:rPr>
      </w:pPr>
      <w:r w:rsidRPr="000D1A16">
        <w:rPr>
          <w:rFonts w:ascii="Arial" w:eastAsia="Arial" w:hAnsi="Arial" w:cs="Arial"/>
          <w:sz w:val="20"/>
          <w:szCs w:val="20"/>
        </w:rPr>
        <w:t>Revisión y análisis de la información recabada de terceros especializados de acuerdo con parámetros establecidos por la Administración de la Compañía.</w:t>
      </w:r>
    </w:p>
    <w:p w14:paraId="1280B495" w14:textId="77777777" w:rsidR="008B655F" w:rsidRPr="000D1A16" w:rsidRDefault="008B655F" w:rsidP="00161D0E">
      <w:pPr>
        <w:pStyle w:val="Prrafodelista"/>
        <w:keepNext/>
        <w:numPr>
          <w:ilvl w:val="0"/>
          <w:numId w:val="12"/>
        </w:numPr>
        <w:tabs>
          <w:tab w:val="left" w:pos="-720"/>
        </w:tabs>
        <w:spacing w:before="0" w:after="0"/>
        <w:ind w:left="993" w:hanging="426"/>
        <w:rPr>
          <w:rFonts w:ascii="Arial" w:eastAsia="Arial" w:hAnsi="Arial" w:cs="Arial"/>
          <w:sz w:val="20"/>
          <w:szCs w:val="20"/>
        </w:rPr>
      </w:pPr>
      <w:r w:rsidRPr="000D1A16">
        <w:rPr>
          <w:rFonts w:ascii="Arial" w:eastAsia="Arial" w:hAnsi="Arial" w:cs="Arial"/>
          <w:sz w:val="20"/>
          <w:szCs w:val="20"/>
        </w:rPr>
        <w:t>Aprobación por parte de la Gerencia General y Financiera, del plazo de crédito.</w:t>
      </w:r>
    </w:p>
    <w:p w14:paraId="6E9C6ED3" w14:textId="77777777" w:rsidR="008B655F" w:rsidRPr="000D1A16" w:rsidRDefault="008B655F" w:rsidP="008B655F">
      <w:pPr>
        <w:ind w:left="567"/>
        <w:jc w:val="both"/>
        <w:rPr>
          <w:rFonts w:ascii="Arial" w:eastAsia="Arial" w:hAnsi="Arial" w:cs="Arial"/>
          <w:sz w:val="20"/>
          <w:szCs w:val="20"/>
        </w:rPr>
      </w:pPr>
    </w:p>
    <w:p w14:paraId="0254856C" w14:textId="77777777"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ha definido en su política de c</w:t>
      </w:r>
      <w:r>
        <w:rPr>
          <w:rFonts w:ascii="Arial" w:eastAsia="Arial" w:hAnsi="Arial" w:cs="Arial"/>
          <w:sz w:val="20"/>
          <w:szCs w:val="20"/>
        </w:rPr>
        <w:t>alificación de crédito, que las compañías relacionadas</w:t>
      </w:r>
      <w:r w:rsidRPr="000D1A16">
        <w:rPr>
          <w:rFonts w:ascii="Arial" w:eastAsia="Arial" w:hAnsi="Arial" w:cs="Arial"/>
          <w:sz w:val="20"/>
          <w:szCs w:val="20"/>
        </w:rPr>
        <w:t xml:space="preserve"> no serán sujetas a análisis de crédito, ni restricción en </w:t>
      </w:r>
      <w:r>
        <w:rPr>
          <w:rFonts w:ascii="Arial" w:eastAsia="Arial" w:hAnsi="Arial" w:cs="Arial"/>
          <w:sz w:val="20"/>
          <w:szCs w:val="20"/>
        </w:rPr>
        <w:t>los cupos, ya que el plazo es corto plazo y existe la seguridad del cobro.</w:t>
      </w:r>
    </w:p>
    <w:p w14:paraId="35E1C638" w14:textId="7E0A88B3" w:rsidR="00395DBA" w:rsidRPr="000D1A16" w:rsidRDefault="00C971F4" w:rsidP="008D7017">
      <w:pPr>
        <w:jc w:val="both"/>
        <w:rPr>
          <w:rFonts w:ascii="Arial" w:hAnsi="Arial" w:cs="Arial"/>
          <w:b/>
          <w:bCs/>
          <w:sz w:val="20"/>
          <w:szCs w:val="20"/>
        </w:rPr>
      </w:pPr>
      <w:r>
        <w:rPr>
          <w:rFonts w:ascii="Arial" w:hAnsi="Arial" w:cs="Arial"/>
          <w:b/>
          <w:bCs/>
          <w:sz w:val="20"/>
          <w:szCs w:val="20"/>
        </w:rPr>
        <w:lastRenderedPageBreak/>
        <w:t>NOTA 2</w:t>
      </w:r>
      <w:r w:rsidR="00460544">
        <w:rPr>
          <w:rFonts w:ascii="Arial" w:hAnsi="Arial" w:cs="Arial"/>
          <w:b/>
          <w:bCs/>
          <w:sz w:val="20"/>
          <w:szCs w:val="20"/>
        </w:rPr>
        <w:t>3</w:t>
      </w:r>
      <w:r w:rsidR="00395DBA" w:rsidRPr="000D1A16">
        <w:rPr>
          <w:rFonts w:ascii="Arial" w:hAnsi="Arial" w:cs="Arial"/>
          <w:b/>
          <w:bCs/>
          <w:sz w:val="20"/>
          <w:szCs w:val="20"/>
        </w:rPr>
        <w:t xml:space="preserve"> – PRECIOS DE TRANSFERENCIA</w:t>
      </w:r>
    </w:p>
    <w:p w14:paraId="317E3314" w14:textId="77777777" w:rsidR="00395DBA" w:rsidRPr="000D1A16" w:rsidRDefault="00395DBA" w:rsidP="008D7017">
      <w:pPr>
        <w:jc w:val="both"/>
        <w:rPr>
          <w:rFonts w:ascii="Arial" w:hAnsi="Arial" w:cs="Arial"/>
          <w:bCs/>
          <w:sz w:val="20"/>
          <w:szCs w:val="20"/>
        </w:rPr>
      </w:pPr>
    </w:p>
    <w:p w14:paraId="24257B7D" w14:textId="6D279432" w:rsidR="00311476" w:rsidRPr="00707BA2" w:rsidRDefault="00311476" w:rsidP="00311476">
      <w:pPr>
        <w:pStyle w:val="Prrafodelista"/>
        <w:spacing w:before="0" w:after="0"/>
        <w:ind w:left="0"/>
        <w:rPr>
          <w:rFonts w:ascii="Arial" w:hAnsi="Arial" w:cs="Arial"/>
          <w:sz w:val="20"/>
          <w:szCs w:val="20"/>
        </w:rPr>
      </w:pPr>
      <w:r w:rsidRPr="00707BA2">
        <w:rPr>
          <w:rFonts w:ascii="Arial" w:hAnsi="Arial" w:cs="Arial"/>
          <w:sz w:val="20"/>
          <w:szCs w:val="20"/>
        </w:rPr>
        <w:t xml:space="preserve">Las normas tributarias vigentes establecen el principio de plena competencia para las operaciones realizadas con partes relacionadas. Los contribuyentes que realicen transacciones con partes relacionadas domiciliadas en el exterior (y locales bajo ciertas condiciones impositivas especiales) en un monto acumulado superior a USD 3,000,000 dentro de un mismo periodo fiscal, deben presentar a la Administración Tributaria un anexo con la información de dichas transacciones. Cuando las transacciones sean superiores a los USD10,000,000 (US$15,000,000 en el </w:t>
      </w:r>
      <w:r w:rsidR="00C03AB5">
        <w:rPr>
          <w:rFonts w:ascii="Arial" w:hAnsi="Arial" w:cs="Arial"/>
          <w:sz w:val="20"/>
          <w:szCs w:val="20"/>
        </w:rPr>
        <w:t>2023</w:t>
      </w:r>
      <w:r w:rsidRPr="00707BA2">
        <w:rPr>
          <w:rFonts w:ascii="Arial" w:hAnsi="Arial" w:cs="Arial"/>
          <w:sz w:val="20"/>
          <w:szCs w:val="20"/>
        </w:rPr>
        <w:t xml:space="preserve">) deberán presentar el anexo de operaciones con partes relacionadas y un Informe Integral de Precios de Transferencia. </w:t>
      </w:r>
    </w:p>
    <w:p w14:paraId="4CFF242E" w14:textId="77777777" w:rsidR="00311476" w:rsidRPr="00707BA2" w:rsidRDefault="00311476" w:rsidP="00311476">
      <w:pPr>
        <w:jc w:val="both"/>
        <w:rPr>
          <w:rFonts w:ascii="Arial" w:hAnsi="Arial" w:cs="Arial"/>
          <w:sz w:val="20"/>
          <w:szCs w:val="20"/>
        </w:rPr>
      </w:pPr>
    </w:p>
    <w:p w14:paraId="731BD445" w14:textId="77777777" w:rsidR="00311476" w:rsidRPr="00707BA2" w:rsidRDefault="00311476" w:rsidP="00311476">
      <w:pPr>
        <w:jc w:val="both"/>
        <w:rPr>
          <w:rFonts w:ascii="Arial" w:hAnsi="Arial" w:cs="Arial"/>
          <w:sz w:val="20"/>
          <w:szCs w:val="20"/>
        </w:rPr>
      </w:pPr>
      <w:r w:rsidRPr="00707BA2">
        <w:rPr>
          <w:rFonts w:ascii="Arial" w:hAnsi="Arial" w:cs="Arial"/>
          <w:sz w:val="20"/>
          <w:szCs w:val="20"/>
        </w:rPr>
        <w:t>Las disposiciones tributarias incluyen como partes relacionadas a las empresas domiciliadas en paraísos fiscales.</w:t>
      </w:r>
    </w:p>
    <w:p w14:paraId="0DAB59EC" w14:textId="77777777" w:rsidR="00311476" w:rsidRPr="00707BA2" w:rsidRDefault="00311476" w:rsidP="00311476">
      <w:pPr>
        <w:jc w:val="both"/>
        <w:rPr>
          <w:rFonts w:ascii="Arial" w:hAnsi="Arial" w:cs="Arial"/>
          <w:sz w:val="20"/>
          <w:szCs w:val="20"/>
        </w:rPr>
      </w:pPr>
    </w:p>
    <w:p w14:paraId="01A57A25" w14:textId="77777777" w:rsidR="00311476" w:rsidRPr="00707BA2" w:rsidRDefault="00311476" w:rsidP="00311476">
      <w:pPr>
        <w:jc w:val="both"/>
        <w:rPr>
          <w:rFonts w:ascii="Arial" w:hAnsi="Arial" w:cs="Arial"/>
          <w:sz w:val="20"/>
          <w:szCs w:val="20"/>
        </w:rPr>
      </w:pPr>
      <w:r w:rsidRPr="00707BA2">
        <w:rPr>
          <w:rFonts w:ascii="Arial" w:hAnsi="Arial" w:cs="Arial"/>
          <w:sz w:val="20"/>
          <w:szCs w:val="20"/>
        </w:rPr>
        <w:t>Las reformas tributarias eliminaron la exención para aquellas compañías que pagaron un impuesto a la renta equivalente al 3% sobre el total de los ingresos.</w:t>
      </w:r>
    </w:p>
    <w:p w14:paraId="444B94E3" w14:textId="77777777" w:rsidR="00311476" w:rsidRPr="00707BA2" w:rsidRDefault="00311476" w:rsidP="00311476">
      <w:pPr>
        <w:jc w:val="both"/>
        <w:rPr>
          <w:rFonts w:ascii="Arial" w:hAnsi="Arial" w:cs="Arial"/>
          <w:sz w:val="20"/>
          <w:szCs w:val="20"/>
        </w:rPr>
      </w:pPr>
    </w:p>
    <w:p w14:paraId="229BB231" w14:textId="70D4E622" w:rsidR="00311476" w:rsidRPr="00707BA2" w:rsidRDefault="00311476" w:rsidP="00311476">
      <w:pPr>
        <w:jc w:val="both"/>
        <w:rPr>
          <w:rFonts w:ascii="Arial" w:hAnsi="Arial" w:cs="Arial"/>
          <w:sz w:val="20"/>
          <w:szCs w:val="20"/>
        </w:rPr>
      </w:pPr>
      <w:r w:rsidRPr="00707BA2">
        <w:rPr>
          <w:rFonts w:ascii="Arial" w:hAnsi="Arial" w:cs="Arial"/>
          <w:sz w:val="20"/>
          <w:szCs w:val="20"/>
        </w:rPr>
        <w:t xml:space="preserve">El importe acumulado de las operaciones de la Compañía con partes relacionadas durante el ejercicio económico del año </w:t>
      </w:r>
      <w:r w:rsidR="00C03AB5">
        <w:rPr>
          <w:rFonts w:ascii="Arial" w:hAnsi="Arial" w:cs="Arial"/>
          <w:sz w:val="20"/>
          <w:szCs w:val="20"/>
        </w:rPr>
        <w:t>2024</w:t>
      </w:r>
      <w:r w:rsidRPr="00707BA2">
        <w:rPr>
          <w:rFonts w:ascii="Arial" w:hAnsi="Arial" w:cs="Arial"/>
          <w:sz w:val="20"/>
          <w:szCs w:val="20"/>
        </w:rPr>
        <w:t>, no supera el importe acumulado mencionado precedente, por lo cual la Compañía no tiene obligatoriedad de presentación del referido estudio.</w:t>
      </w:r>
    </w:p>
    <w:p w14:paraId="2AEA18AA" w14:textId="77777777" w:rsidR="00A7789D" w:rsidRDefault="00A7789D" w:rsidP="008D7017">
      <w:pPr>
        <w:tabs>
          <w:tab w:val="left" w:pos="-720"/>
        </w:tabs>
        <w:suppressAutoHyphens/>
        <w:jc w:val="both"/>
        <w:rPr>
          <w:rFonts w:ascii="Arial" w:hAnsi="Arial" w:cs="Arial"/>
          <w:b/>
          <w:spacing w:val="-3"/>
          <w:sz w:val="20"/>
          <w:szCs w:val="20"/>
        </w:rPr>
      </w:pPr>
    </w:p>
    <w:p w14:paraId="651065C8" w14:textId="77777777" w:rsidR="00311476" w:rsidRDefault="00311476" w:rsidP="008D7017">
      <w:pPr>
        <w:tabs>
          <w:tab w:val="left" w:pos="-720"/>
        </w:tabs>
        <w:suppressAutoHyphens/>
        <w:jc w:val="both"/>
        <w:rPr>
          <w:rFonts w:ascii="Arial" w:hAnsi="Arial" w:cs="Arial"/>
          <w:b/>
          <w:spacing w:val="-3"/>
          <w:sz w:val="20"/>
          <w:szCs w:val="20"/>
        </w:rPr>
      </w:pPr>
    </w:p>
    <w:p w14:paraId="71C10287" w14:textId="17931C63" w:rsidR="00395DBA" w:rsidRPr="000D1A16" w:rsidRDefault="00C971F4" w:rsidP="008D7017">
      <w:pPr>
        <w:tabs>
          <w:tab w:val="left" w:pos="-720"/>
        </w:tabs>
        <w:suppressAutoHyphens/>
        <w:jc w:val="both"/>
        <w:rPr>
          <w:rFonts w:ascii="Arial" w:hAnsi="Arial" w:cs="Arial"/>
          <w:b/>
          <w:spacing w:val="-3"/>
          <w:sz w:val="20"/>
          <w:szCs w:val="20"/>
        </w:rPr>
      </w:pPr>
      <w:r>
        <w:rPr>
          <w:rFonts w:ascii="Arial" w:hAnsi="Arial" w:cs="Arial"/>
          <w:b/>
          <w:spacing w:val="-3"/>
          <w:sz w:val="20"/>
          <w:szCs w:val="20"/>
        </w:rPr>
        <w:t>NOTA 2</w:t>
      </w:r>
      <w:r w:rsidR="00460544">
        <w:rPr>
          <w:rFonts w:ascii="Arial" w:hAnsi="Arial" w:cs="Arial"/>
          <w:b/>
          <w:spacing w:val="-3"/>
          <w:sz w:val="20"/>
          <w:szCs w:val="20"/>
        </w:rPr>
        <w:t>4</w:t>
      </w:r>
      <w:r w:rsidR="00395DBA" w:rsidRPr="000D1A16">
        <w:rPr>
          <w:rFonts w:ascii="Arial" w:hAnsi="Arial" w:cs="Arial"/>
          <w:b/>
          <w:spacing w:val="-3"/>
          <w:sz w:val="20"/>
          <w:szCs w:val="20"/>
        </w:rPr>
        <w:t xml:space="preserve"> - EVENTOS SUBSECUENTES</w:t>
      </w:r>
    </w:p>
    <w:p w14:paraId="148AEDE8" w14:textId="77777777" w:rsidR="00395DBA" w:rsidRPr="000D1A16" w:rsidRDefault="00395DBA" w:rsidP="008D7017">
      <w:pPr>
        <w:tabs>
          <w:tab w:val="left" w:pos="-720"/>
        </w:tabs>
        <w:suppressAutoHyphens/>
        <w:jc w:val="both"/>
        <w:rPr>
          <w:rFonts w:ascii="Arial" w:hAnsi="Arial" w:cs="Arial"/>
          <w:spacing w:val="-3"/>
          <w:sz w:val="20"/>
          <w:szCs w:val="20"/>
          <w:highlight w:val="yellow"/>
        </w:rPr>
      </w:pPr>
    </w:p>
    <w:p w14:paraId="30D5904F" w14:textId="3C899833" w:rsidR="00D577F7" w:rsidRPr="000D1A16" w:rsidRDefault="000B0BA6" w:rsidP="008D7017">
      <w:pPr>
        <w:ind w:right="-6"/>
        <w:jc w:val="both"/>
        <w:rPr>
          <w:rFonts w:ascii="Arial" w:hAnsi="Arial" w:cs="Arial"/>
          <w:sz w:val="20"/>
          <w:szCs w:val="20"/>
        </w:rPr>
      </w:pPr>
      <w:r w:rsidRPr="000D1A16">
        <w:rPr>
          <w:rFonts w:ascii="Arial" w:hAnsi="Arial" w:cs="Arial"/>
          <w:sz w:val="20"/>
          <w:szCs w:val="20"/>
        </w:rPr>
        <w:t>Entre el 31</w:t>
      </w:r>
      <w:r w:rsidR="000E1D9E" w:rsidRPr="000D1A16">
        <w:rPr>
          <w:rFonts w:ascii="Arial" w:hAnsi="Arial" w:cs="Arial"/>
          <w:sz w:val="20"/>
          <w:szCs w:val="20"/>
        </w:rPr>
        <w:t xml:space="preserve"> de </w:t>
      </w:r>
      <w:r w:rsidRPr="000D1A16">
        <w:rPr>
          <w:rFonts w:ascii="Arial" w:hAnsi="Arial" w:cs="Arial"/>
          <w:sz w:val="20"/>
          <w:szCs w:val="20"/>
        </w:rPr>
        <w:t>diciembre</w:t>
      </w:r>
      <w:r w:rsidR="00A11058" w:rsidRPr="000D1A16">
        <w:rPr>
          <w:rFonts w:ascii="Arial" w:hAnsi="Arial" w:cs="Arial"/>
          <w:sz w:val="20"/>
          <w:szCs w:val="20"/>
        </w:rPr>
        <w:t xml:space="preserve"> de</w:t>
      </w:r>
      <w:r w:rsidRPr="000D1A16">
        <w:rPr>
          <w:rFonts w:ascii="Arial" w:hAnsi="Arial" w:cs="Arial"/>
          <w:sz w:val="20"/>
          <w:szCs w:val="20"/>
        </w:rPr>
        <w:t>l</w:t>
      </w:r>
      <w:r w:rsidR="00C971F4">
        <w:rPr>
          <w:rFonts w:ascii="Arial" w:hAnsi="Arial" w:cs="Arial"/>
          <w:sz w:val="20"/>
          <w:szCs w:val="20"/>
        </w:rPr>
        <w:t xml:space="preserve"> </w:t>
      </w:r>
      <w:r w:rsidR="00C03AB5">
        <w:rPr>
          <w:rFonts w:ascii="Arial" w:hAnsi="Arial" w:cs="Arial"/>
          <w:sz w:val="20"/>
          <w:szCs w:val="20"/>
        </w:rPr>
        <w:t>2024</w:t>
      </w:r>
      <w:r w:rsidR="000E1D9E" w:rsidRPr="000D1A16">
        <w:rPr>
          <w:rFonts w:ascii="Arial" w:hAnsi="Arial" w:cs="Arial"/>
          <w:sz w:val="20"/>
          <w:szCs w:val="20"/>
        </w:rPr>
        <w:t xml:space="preserve"> y la fecha de emisión </w:t>
      </w:r>
      <w:r w:rsidR="00FE5BBF" w:rsidRPr="000D1A16">
        <w:rPr>
          <w:rFonts w:ascii="Arial" w:hAnsi="Arial" w:cs="Arial"/>
          <w:sz w:val="20"/>
          <w:szCs w:val="20"/>
        </w:rPr>
        <w:t>de estos est</w:t>
      </w:r>
      <w:r w:rsidR="007141AF" w:rsidRPr="000D1A16">
        <w:rPr>
          <w:rFonts w:ascii="Arial" w:hAnsi="Arial" w:cs="Arial"/>
          <w:sz w:val="20"/>
          <w:szCs w:val="20"/>
        </w:rPr>
        <w:t xml:space="preserve">ados financieros, </w:t>
      </w:r>
      <w:r w:rsidR="00460544">
        <w:rPr>
          <w:rFonts w:ascii="Arial" w:hAnsi="Arial" w:cs="Arial"/>
          <w:sz w:val="20"/>
          <w:szCs w:val="20"/>
        </w:rPr>
        <w:t xml:space="preserve">31 de marzo del 2025. </w:t>
      </w:r>
      <w:r w:rsidR="000E1D9E" w:rsidRPr="000D1A16">
        <w:rPr>
          <w:rFonts w:ascii="Arial" w:hAnsi="Arial" w:cs="Arial"/>
          <w:sz w:val="20"/>
          <w:szCs w:val="20"/>
        </w:rPr>
        <w:t>No se produjeron eventos que, en la opinión de la Administración de la Compañía, pudieran tener un efecto significativo sobre dichos estados financieros que no se hayan revelado en los mismos o en sus notas</w:t>
      </w:r>
      <w:r w:rsidR="00846A12">
        <w:rPr>
          <w:rFonts w:ascii="Arial" w:hAnsi="Arial" w:cs="Arial"/>
          <w:sz w:val="20"/>
          <w:szCs w:val="20"/>
        </w:rPr>
        <w:t>.</w:t>
      </w:r>
    </w:p>
    <w:p w14:paraId="0C0DF4EE" w14:textId="77777777" w:rsidR="009A6CB7" w:rsidRDefault="009A6CB7" w:rsidP="00F44A02">
      <w:pPr>
        <w:tabs>
          <w:tab w:val="left" w:pos="6780"/>
        </w:tabs>
        <w:ind w:right="-6"/>
        <w:jc w:val="both"/>
        <w:rPr>
          <w:rFonts w:ascii="Arial" w:hAnsi="Arial" w:cs="Arial"/>
          <w:sz w:val="20"/>
          <w:szCs w:val="20"/>
        </w:rPr>
      </w:pPr>
    </w:p>
    <w:p w14:paraId="0E79F3DA" w14:textId="77777777" w:rsidR="00846A12" w:rsidRDefault="006D1876" w:rsidP="006D1876">
      <w:pPr>
        <w:tabs>
          <w:tab w:val="left" w:pos="8376"/>
        </w:tabs>
        <w:ind w:right="-6"/>
        <w:jc w:val="both"/>
        <w:rPr>
          <w:rFonts w:ascii="Arial" w:hAnsi="Arial" w:cs="Arial"/>
          <w:sz w:val="20"/>
          <w:szCs w:val="20"/>
        </w:rPr>
      </w:pPr>
      <w:r>
        <w:rPr>
          <w:rFonts w:ascii="Arial" w:hAnsi="Arial" w:cs="Arial"/>
          <w:sz w:val="20"/>
          <w:szCs w:val="20"/>
        </w:rPr>
        <w:tab/>
      </w:r>
    </w:p>
    <w:p w14:paraId="778CBE2B" w14:textId="77777777" w:rsidR="00034AEF" w:rsidRPr="000D1A16" w:rsidRDefault="00F44A02" w:rsidP="00F44A02">
      <w:pPr>
        <w:tabs>
          <w:tab w:val="left" w:pos="6780"/>
        </w:tabs>
        <w:ind w:right="-6"/>
        <w:jc w:val="both"/>
        <w:rPr>
          <w:rFonts w:ascii="Arial" w:hAnsi="Arial" w:cs="Arial"/>
          <w:sz w:val="20"/>
          <w:szCs w:val="20"/>
        </w:rPr>
      </w:pPr>
      <w:r>
        <w:rPr>
          <w:rFonts w:ascii="Arial" w:hAnsi="Arial" w:cs="Arial"/>
          <w:sz w:val="20"/>
          <w:szCs w:val="20"/>
        </w:rPr>
        <w:tab/>
      </w:r>
    </w:p>
    <w:p w14:paraId="6D687EDD" w14:textId="77777777" w:rsidR="00846A12" w:rsidRPr="000D1A16" w:rsidRDefault="00846A12" w:rsidP="008D7017">
      <w:pPr>
        <w:ind w:right="-6"/>
        <w:jc w:val="both"/>
        <w:rPr>
          <w:rFonts w:ascii="Arial" w:hAnsi="Arial" w:cs="Arial"/>
          <w:sz w:val="20"/>
          <w:szCs w:val="20"/>
        </w:rPr>
      </w:pPr>
    </w:p>
    <w:tbl>
      <w:tblPr>
        <w:tblpPr w:leftFromText="141" w:rightFromText="141" w:vertAnchor="text" w:horzAnchor="page" w:tblpXSpec="center" w:tblpY="151"/>
        <w:tblW w:w="5863" w:type="dxa"/>
        <w:tblLayout w:type="fixed"/>
        <w:tblCellMar>
          <w:left w:w="70" w:type="dxa"/>
          <w:right w:w="70" w:type="dxa"/>
        </w:tblCellMar>
        <w:tblLook w:val="0000" w:firstRow="0" w:lastRow="0" w:firstColumn="0" w:lastColumn="0" w:noHBand="0" w:noVBand="0"/>
      </w:tblPr>
      <w:tblGrid>
        <w:gridCol w:w="2407"/>
        <w:gridCol w:w="567"/>
        <w:gridCol w:w="321"/>
        <w:gridCol w:w="2568"/>
      </w:tblGrid>
      <w:tr w:rsidR="00460544" w:rsidRPr="000D1A16" w14:paraId="01C59A30" w14:textId="77777777" w:rsidTr="009554C3">
        <w:trPr>
          <w:trHeight w:val="229"/>
        </w:trPr>
        <w:tc>
          <w:tcPr>
            <w:tcW w:w="2407" w:type="dxa"/>
            <w:tcBorders>
              <w:bottom w:val="single" w:sz="6" w:space="0" w:color="auto"/>
            </w:tcBorders>
          </w:tcPr>
          <w:p w14:paraId="63948273" w14:textId="77777777" w:rsidR="00460544" w:rsidRPr="000D1A16" w:rsidRDefault="00460544" w:rsidP="009554C3">
            <w:pPr>
              <w:ind w:right="196"/>
              <w:rPr>
                <w:rFonts w:ascii="Arial" w:hAnsi="Arial" w:cs="Arial"/>
                <w:spacing w:val="-2"/>
                <w:sz w:val="20"/>
              </w:rPr>
            </w:pPr>
          </w:p>
        </w:tc>
        <w:tc>
          <w:tcPr>
            <w:tcW w:w="567" w:type="dxa"/>
          </w:tcPr>
          <w:p w14:paraId="535D6D5D" w14:textId="77777777" w:rsidR="00460544" w:rsidRPr="000D1A16" w:rsidRDefault="00460544" w:rsidP="009554C3">
            <w:pPr>
              <w:ind w:right="196"/>
              <w:rPr>
                <w:rFonts w:ascii="Arial" w:hAnsi="Arial" w:cs="Arial"/>
                <w:spacing w:val="-2"/>
                <w:sz w:val="20"/>
              </w:rPr>
            </w:pPr>
          </w:p>
        </w:tc>
        <w:tc>
          <w:tcPr>
            <w:tcW w:w="321" w:type="dxa"/>
          </w:tcPr>
          <w:p w14:paraId="42395EBA" w14:textId="77777777" w:rsidR="00460544" w:rsidRPr="000D1A16" w:rsidRDefault="00460544" w:rsidP="009554C3">
            <w:pPr>
              <w:ind w:right="196"/>
              <w:rPr>
                <w:rFonts w:ascii="Arial" w:hAnsi="Arial" w:cs="Arial"/>
                <w:spacing w:val="-2"/>
                <w:sz w:val="20"/>
              </w:rPr>
            </w:pPr>
          </w:p>
        </w:tc>
        <w:tc>
          <w:tcPr>
            <w:tcW w:w="2568" w:type="dxa"/>
            <w:tcBorders>
              <w:bottom w:val="single" w:sz="6" w:space="0" w:color="auto"/>
            </w:tcBorders>
          </w:tcPr>
          <w:p w14:paraId="2DF3EC86" w14:textId="77777777" w:rsidR="00460544" w:rsidRPr="000D1A16" w:rsidRDefault="00460544" w:rsidP="009554C3">
            <w:pPr>
              <w:ind w:right="196"/>
              <w:rPr>
                <w:rFonts w:ascii="Arial" w:hAnsi="Arial" w:cs="Arial"/>
                <w:spacing w:val="-2"/>
                <w:sz w:val="20"/>
              </w:rPr>
            </w:pPr>
          </w:p>
        </w:tc>
      </w:tr>
      <w:tr w:rsidR="00460544" w:rsidRPr="000D1A16" w14:paraId="15CF3A84" w14:textId="77777777" w:rsidTr="009554C3">
        <w:trPr>
          <w:trHeight w:val="307"/>
        </w:trPr>
        <w:tc>
          <w:tcPr>
            <w:tcW w:w="2407" w:type="dxa"/>
          </w:tcPr>
          <w:p w14:paraId="14B8DE2F" w14:textId="0F4986AB" w:rsidR="00460544" w:rsidRPr="000D1A16" w:rsidRDefault="00460544" w:rsidP="009554C3">
            <w:pPr>
              <w:ind w:right="196"/>
              <w:jc w:val="center"/>
              <w:rPr>
                <w:rFonts w:ascii="Arial" w:hAnsi="Arial" w:cs="Arial"/>
                <w:spacing w:val="-2"/>
                <w:sz w:val="20"/>
                <w:lang w:val="de-DE"/>
              </w:rPr>
            </w:pPr>
            <w:r>
              <w:rPr>
                <w:rFonts w:ascii="Arial" w:hAnsi="Arial" w:cs="Arial"/>
                <w:spacing w:val="-2"/>
                <w:sz w:val="20"/>
                <w:lang w:val="de-DE"/>
              </w:rPr>
              <w:t>Paulo Peña Toro</w:t>
            </w:r>
          </w:p>
          <w:p w14:paraId="13307424" w14:textId="77777777" w:rsidR="00460544" w:rsidRPr="000D1A16" w:rsidRDefault="00460544" w:rsidP="009554C3">
            <w:pPr>
              <w:ind w:right="196"/>
              <w:jc w:val="center"/>
              <w:rPr>
                <w:rFonts w:ascii="Arial" w:hAnsi="Arial" w:cs="Arial"/>
                <w:spacing w:val="-2"/>
                <w:sz w:val="20"/>
                <w:lang w:val="de-DE"/>
              </w:rPr>
            </w:pPr>
            <w:r w:rsidRPr="000D1A16">
              <w:rPr>
                <w:rFonts w:ascii="Arial" w:hAnsi="Arial" w:cs="Arial"/>
                <w:spacing w:val="-2"/>
                <w:sz w:val="20"/>
                <w:lang w:val="de-DE"/>
              </w:rPr>
              <w:t>Gerente General</w:t>
            </w:r>
          </w:p>
        </w:tc>
        <w:tc>
          <w:tcPr>
            <w:tcW w:w="567" w:type="dxa"/>
          </w:tcPr>
          <w:p w14:paraId="44E442FF" w14:textId="77777777" w:rsidR="00460544" w:rsidRPr="000D1A16" w:rsidRDefault="00460544" w:rsidP="009554C3">
            <w:pPr>
              <w:ind w:right="196"/>
              <w:jc w:val="center"/>
              <w:rPr>
                <w:rFonts w:ascii="Arial" w:hAnsi="Arial" w:cs="Arial"/>
                <w:spacing w:val="-2"/>
                <w:sz w:val="20"/>
                <w:lang w:val="de-DE"/>
              </w:rPr>
            </w:pPr>
          </w:p>
        </w:tc>
        <w:tc>
          <w:tcPr>
            <w:tcW w:w="321" w:type="dxa"/>
          </w:tcPr>
          <w:p w14:paraId="03EB1A24" w14:textId="77777777" w:rsidR="00460544" w:rsidRPr="000D1A16" w:rsidRDefault="00460544" w:rsidP="009554C3">
            <w:pPr>
              <w:ind w:right="196"/>
              <w:jc w:val="center"/>
              <w:rPr>
                <w:rFonts w:ascii="Arial" w:hAnsi="Arial" w:cs="Arial"/>
                <w:spacing w:val="-2"/>
                <w:sz w:val="20"/>
              </w:rPr>
            </w:pPr>
          </w:p>
        </w:tc>
        <w:tc>
          <w:tcPr>
            <w:tcW w:w="2568" w:type="dxa"/>
          </w:tcPr>
          <w:p w14:paraId="6D5680F6" w14:textId="5EF8842C" w:rsidR="00460544" w:rsidRPr="000D1A16" w:rsidRDefault="00460544" w:rsidP="009554C3">
            <w:pPr>
              <w:ind w:right="196"/>
              <w:rPr>
                <w:rFonts w:ascii="Arial" w:hAnsi="Arial" w:cs="Arial"/>
                <w:spacing w:val="-2"/>
                <w:sz w:val="20"/>
                <w:lang w:val="de-DE"/>
              </w:rPr>
            </w:pPr>
            <w:r>
              <w:rPr>
                <w:rFonts w:ascii="Arial" w:hAnsi="Arial" w:cs="Arial"/>
                <w:spacing w:val="-2"/>
                <w:sz w:val="20"/>
                <w:lang w:val="de-DE"/>
              </w:rPr>
              <w:t xml:space="preserve">       </w:t>
            </w:r>
            <w:r>
              <w:rPr>
                <w:rFonts w:ascii="Arial" w:hAnsi="Arial" w:cs="Arial"/>
                <w:spacing w:val="-2"/>
                <w:sz w:val="20"/>
                <w:lang w:val="de-DE"/>
              </w:rPr>
              <w:t>Tania Machado</w:t>
            </w:r>
          </w:p>
          <w:p w14:paraId="2A9E4BD0" w14:textId="77777777" w:rsidR="00460544" w:rsidRPr="000D1A16" w:rsidRDefault="00460544" w:rsidP="009554C3">
            <w:pPr>
              <w:ind w:right="196"/>
              <w:jc w:val="center"/>
              <w:rPr>
                <w:rFonts w:ascii="Arial" w:hAnsi="Arial" w:cs="Arial"/>
                <w:spacing w:val="-2"/>
                <w:sz w:val="20"/>
              </w:rPr>
            </w:pPr>
            <w:r>
              <w:rPr>
                <w:rFonts w:ascii="Arial" w:hAnsi="Arial" w:cs="Arial"/>
                <w:spacing w:val="-2"/>
                <w:sz w:val="20"/>
              </w:rPr>
              <w:t>Contador General</w:t>
            </w:r>
          </w:p>
        </w:tc>
      </w:tr>
    </w:tbl>
    <w:p w14:paraId="52B26920" w14:textId="77777777" w:rsidR="005559D1" w:rsidRDefault="005559D1" w:rsidP="009A6CB7">
      <w:pPr>
        <w:rPr>
          <w:rFonts w:ascii="Arial" w:hAnsi="Arial" w:cs="Arial"/>
          <w:sz w:val="20"/>
          <w:szCs w:val="20"/>
        </w:rPr>
      </w:pPr>
    </w:p>
    <w:p w14:paraId="2177D03C" w14:textId="77777777" w:rsidR="005559D1" w:rsidRPr="005559D1" w:rsidRDefault="005559D1" w:rsidP="005559D1">
      <w:pPr>
        <w:rPr>
          <w:rFonts w:ascii="Arial" w:hAnsi="Arial" w:cs="Arial"/>
          <w:sz w:val="20"/>
          <w:szCs w:val="20"/>
        </w:rPr>
      </w:pPr>
    </w:p>
    <w:p w14:paraId="0C7C5EF3" w14:textId="77777777" w:rsidR="005559D1" w:rsidRPr="005559D1" w:rsidRDefault="005559D1" w:rsidP="005559D1">
      <w:pPr>
        <w:rPr>
          <w:rFonts w:ascii="Arial" w:hAnsi="Arial" w:cs="Arial"/>
          <w:sz w:val="20"/>
          <w:szCs w:val="20"/>
        </w:rPr>
      </w:pPr>
    </w:p>
    <w:p w14:paraId="1A5338E4" w14:textId="77777777" w:rsidR="005559D1" w:rsidRPr="005559D1" w:rsidRDefault="005559D1" w:rsidP="005559D1">
      <w:pPr>
        <w:rPr>
          <w:rFonts w:ascii="Arial" w:hAnsi="Arial" w:cs="Arial"/>
          <w:sz w:val="20"/>
          <w:szCs w:val="20"/>
        </w:rPr>
      </w:pPr>
    </w:p>
    <w:sectPr w:rsidR="005559D1" w:rsidRPr="005559D1" w:rsidSect="003E280F">
      <w:headerReference w:type="even" r:id="rId46"/>
      <w:headerReference w:type="default" r:id="rId47"/>
      <w:footerReference w:type="default" r:id="rId48"/>
      <w:headerReference w:type="first" r:id="rId49"/>
      <w:pgSz w:w="11906" w:h="16838" w:code="9"/>
      <w:pgMar w:top="1985" w:right="1191" w:bottom="1191" w:left="1588" w:header="1701" w:footer="1134" w:gutter="0"/>
      <w:pgNumType w:start="1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42D593" w14:textId="77777777" w:rsidR="00275A3B" w:rsidRDefault="00275A3B" w:rsidP="00DE5BF4">
      <w:r>
        <w:separator/>
      </w:r>
    </w:p>
  </w:endnote>
  <w:endnote w:type="continuationSeparator" w:id="0">
    <w:p w14:paraId="5DE241B4" w14:textId="77777777" w:rsidR="00275A3B" w:rsidRDefault="00275A3B" w:rsidP="00DE5B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EYInterstate">
    <w:altName w:val="Corbel"/>
    <w:charset w:val="00"/>
    <w:family w:val="auto"/>
    <w:pitch w:val="variable"/>
    <w:sig w:usb0="A00002AF" w:usb1="5000206A"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6392524"/>
      <w:docPartObj>
        <w:docPartGallery w:val="Page Numbers (Bottom of Page)"/>
        <w:docPartUnique/>
      </w:docPartObj>
    </w:sdtPr>
    <w:sdtEndPr>
      <w:rPr>
        <w:rFonts w:ascii="Arial" w:hAnsi="Arial" w:cs="Arial"/>
        <w:sz w:val="20"/>
        <w:szCs w:val="20"/>
      </w:rPr>
    </w:sdtEndPr>
    <w:sdtContent>
      <w:p w14:paraId="4434A067" w14:textId="24709148" w:rsidR="00D67B6D" w:rsidRPr="002658CC" w:rsidRDefault="00D67B6D">
        <w:pPr>
          <w:pStyle w:val="Piedepgina"/>
          <w:jc w:val="center"/>
          <w:rPr>
            <w:rFonts w:ascii="Arial" w:hAnsi="Arial" w:cs="Arial"/>
            <w:sz w:val="20"/>
            <w:szCs w:val="20"/>
          </w:rPr>
        </w:pPr>
        <w:r w:rsidRPr="002658CC">
          <w:rPr>
            <w:rFonts w:ascii="Arial" w:hAnsi="Arial" w:cs="Arial"/>
            <w:sz w:val="20"/>
            <w:szCs w:val="20"/>
          </w:rPr>
          <w:fldChar w:fldCharType="begin"/>
        </w:r>
        <w:r w:rsidRPr="002658CC">
          <w:rPr>
            <w:rFonts w:ascii="Arial" w:hAnsi="Arial" w:cs="Arial"/>
            <w:sz w:val="20"/>
            <w:szCs w:val="20"/>
          </w:rPr>
          <w:instrText>PAGE   \* MERGEFORMAT</w:instrText>
        </w:r>
        <w:r w:rsidRPr="002658CC">
          <w:rPr>
            <w:rFonts w:ascii="Arial" w:hAnsi="Arial" w:cs="Arial"/>
            <w:sz w:val="20"/>
            <w:szCs w:val="20"/>
          </w:rPr>
          <w:fldChar w:fldCharType="separate"/>
        </w:r>
        <w:r w:rsidR="00E615E5">
          <w:rPr>
            <w:rFonts w:ascii="Arial" w:hAnsi="Arial" w:cs="Arial"/>
            <w:noProof/>
            <w:sz w:val="20"/>
            <w:szCs w:val="20"/>
          </w:rPr>
          <w:t>43</w:t>
        </w:r>
        <w:r w:rsidRPr="002658CC">
          <w:rPr>
            <w:rFonts w:ascii="Arial" w:hAnsi="Arial" w:cs="Arial"/>
            <w:sz w:val="20"/>
            <w:szCs w:val="20"/>
          </w:rPr>
          <w:fldChar w:fldCharType="end"/>
        </w:r>
        <w:r w:rsidR="00FB6640">
          <w:rPr>
            <w:rFonts w:ascii="Arial" w:hAnsi="Arial" w:cs="Arial"/>
            <w:sz w:val="20"/>
            <w:szCs w:val="20"/>
          </w:rPr>
          <w:t xml:space="preserve"> de </w:t>
        </w:r>
        <w:r w:rsidR="003E280F">
          <w:rPr>
            <w:rFonts w:ascii="Arial" w:hAnsi="Arial" w:cs="Arial"/>
            <w:sz w:val="20"/>
            <w:szCs w:val="20"/>
          </w:rPr>
          <w:t>40</w:t>
        </w:r>
      </w:p>
    </w:sdtContent>
  </w:sdt>
  <w:p w14:paraId="31FA6F67" w14:textId="77777777" w:rsidR="00D67B6D" w:rsidRPr="004B16D0" w:rsidRDefault="00D67B6D" w:rsidP="004B16D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55019" w14:textId="77777777" w:rsidR="00275A3B" w:rsidRDefault="00275A3B" w:rsidP="00DE5BF4">
      <w:r>
        <w:separator/>
      </w:r>
    </w:p>
  </w:footnote>
  <w:footnote w:type="continuationSeparator" w:id="0">
    <w:p w14:paraId="0DFDD917" w14:textId="77777777" w:rsidR="00275A3B" w:rsidRDefault="00275A3B" w:rsidP="00DE5B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5CD7C" w14:textId="77777777" w:rsidR="00D67B6D" w:rsidRDefault="00275A3B">
    <w:pPr>
      <w:pStyle w:val="Encabezado"/>
    </w:pPr>
    <w:r>
      <w:rPr>
        <w:noProof/>
      </w:rPr>
      <w:pict w14:anchorId="735FB7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4" o:spid="_x0000_s2050" type="#_x0000_t136" alt="" style="position:absolute;margin-left:0;margin-top:0;width:456.2pt;height:16pt;z-index:-251655168;mso-wrap-edited:f;mso-width-percent:0;mso-height-percent:0;mso-position-horizontal:center;mso-position-horizontal-relative:margin;mso-position-vertical:center;mso-position-vertical-relative:margin;mso-width-percent:0;mso-height-percent:0" o:allowincell="f" fillcolor="#c6d9f1 [671]" stroked="f">
          <v:fill opacity=".5"/>
          <v:textpath style="font-family:&quot;Arial&quot;;font-size:1pt" string="BORRADOR PARA USO INTERNO SUJETO A MODIFICACIONE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55439" w14:textId="4FD84552" w:rsidR="00D67B6D" w:rsidRPr="00271A43" w:rsidRDefault="00CB6667" w:rsidP="00E9662A">
    <w:pPr>
      <w:rPr>
        <w:rFonts w:ascii="Arial" w:hAnsi="Arial" w:cs="Arial"/>
        <w:b/>
        <w:bCs/>
        <w:sz w:val="20"/>
        <w:szCs w:val="20"/>
      </w:rPr>
    </w:pPr>
    <w:r>
      <w:rPr>
        <w:rFonts w:ascii="Arial" w:hAnsi="Arial" w:cs="Arial"/>
        <w:b/>
        <w:bCs/>
        <w:sz w:val="20"/>
        <w:szCs w:val="20"/>
      </w:rPr>
      <w:t>ACTIVENERGY S.A.S</w:t>
    </w:r>
    <w:r w:rsidR="00D67B6D" w:rsidRPr="00271A43">
      <w:rPr>
        <w:rFonts w:ascii="Arial" w:hAnsi="Arial" w:cs="Arial"/>
        <w:b/>
        <w:bCs/>
        <w:sz w:val="20"/>
        <w:szCs w:val="20"/>
      </w:rPr>
      <w:t xml:space="preserve"> </w:t>
    </w:r>
  </w:p>
  <w:p w14:paraId="2AECD24B" w14:textId="77777777" w:rsidR="00D67B6D" w:rsidRPr="00271A43" w:rsidRDefault="00D67B6D" w:rsidP="00E9662A">
    <w:pPr>
      <w:rPr>
        <w:rFonts w:ascii="Arial" w:hAnsi="Arial" w:cs="Arial"/>
        <w:b/>
        <w:bCs/>
        <w:sz w:val="20"/>
        <w:szCs w:val="20"/>
      </w:rPr>
    </w:pPr>
  </w:p>
  <w:p w14:paraId="5A4C5AF1" w14:textId="77777777" w:rsidR="00D67B6D" w:rsidRPr="00271A43" w:rsidRDefault="00D67B6D" w:rsidP="00E9662A">
    <w:pPr>
      <w:rPr>
        <w:rFonts w:ascii="Arial" w:hAnsi="Arial" w:cs="Arial"/>
        <w:b/>
        <w:bCs/>
        <w:sz w:val="20"/>
        <w:szCs w:val="20"/>
      </w:rPr>
    </w:pPr>
    <w:r w:rsidRPr="00271A43">
      <w:rPr>
        <w:rFonts w:ascii="Arial" w:hAnsi="Arial" w:cs="Arial"/>
        <w:b/>
        <w:bCs/>
        <w:sz w:val="20"/>
        <w:szCs w:val="20"/>
      </w:rPr>
      <w:t>Notas a los estados financieros</w:t>
    </w:r>
  </w:p>
  <w:p w14:paraId="3E49A545" w14:textId="77777777" w:rsidR="00D67B6D" w:rsidRPr="00E9662A" w:rsidRDefault="00D67B6D" w:rsidP="00E9662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2D6BB" w14:textId="77777777" w:rsidR="00D67B6D" w:rsidRDefault="00275A3B">
    <w:pPr>
      <w:pStyle w:val="Encabezado"/>
    </w:pPr>
    <w:r>
      <w:rPr>
        <w:noProof/>
      </w:rPr>
      <w:pict w14:anchorId="3A08CC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3" o:spid="_x0000_s2049" type="#_x0000_t136" alt="" style="position:absolute;margin-left:0;margin-top:0;width:456.2pt;height:16pt;z-index:-251657216;mso-wrap-edited:f;mso-width-percent:0;mso-height-percent:0;mso-position-horizontal:center;mso-position-horizontal-relative:margin;mso-position-vertical:center;mso-position-vertical-relative:margin;mso-width-percent:0;mso-height-percent:0" o:allowincell="f" fillcolor="#c6d9f1 [671]" stroked="f">
          <v:fill opacity=".5"/>
          <v:textpath style="font-family:&quot;Arial&quot;;font-size:1pt" string="BORRADOR PARA USO INTERNO SUJETO A MODIFICACIONE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396"/>
    <w:multiLevelType w:val="hybridMultilevel"/>
    <w:tmpl w:val="E496D74A"/>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 w15:restartNumberingAfterBreak="0">
    <w:nsid w:val="028C67CA"/>
    <w:multiLevelType w:val="hybridMultilevel"/>
    <w:tmpl w:val="13F64A34"/>
    <w:lvl w:ilvl="0" w:tplc="DAB84EC2">
      <w:start w:val="5"/>
      <w:numFmt w:val="bullet"/>
      <w:lvlText w:val="-"/>
      <w:lvlJc w:val="left"/>
      <w:pPr>
        <w:ind w:left="1290" w:hanging="360"/>
      </w:pPr>
      <w:rPr>
        <w:rFonts w:ascii="Arial" w:eastAsia="Times New Roman" w:hAnsi="Arial" w:cs="Arial" w:hint="default"/>
      </w:rPr>
    </w:lvl>
    <w:lvl w:ilvl="1" w:tplc="300A0003">
      <w:start w:val="1"/>
      <w:numFmt w:val="bullet"/>
      <w:lvlText w:val="o"/>
      <w:lvlJc w:val="left"/>
      <w:pPr>
        <w:ind w:left="2010" w:hanging="360"/>
      </w:pPr>
      <w:rPr>
        <w:rFonts w:ascii="Courier New" w:hAnsi="Courier New" w:cs="Courier New" w:hint="default"/>
      </w:rPr>
    </w:lvl>
    <w:lvl w:ilvl="2" w:tplc="300A0005">
      <w:start w:val="1"/>
      <w:numFmt w:val="bullet"/>
      <w:lvlText w:val=""/>
      <w:lvlJc w:val="left"/>
      <w:pPr>
        <w:ind w:left="2730" w:hanging="360"/>
      </w:pPr>
      <w:rPr>
        <w:rFonts w:ascii="Wingdings" w:hAnsi="Wingdings" w:hint="default"/>
      </w:rPr>
    </w:lvl>
    <w:lvl w:ilvl="3" w:tplc="300A0001">
      <w:start w:val="1"/>
      <w:numFmt w:val="bullet"/>
      <w:lvlText w:val=""/>
      <w:lvlJc w:val="left"/>
      <w:pPr>
        <w:ind w:left="3450" w:hanging="360"/>
      </w:pPr>
      <w:rPr>
        <w:rFonts w:ascii="Symbol" w:hAnsi="Symbol" w:hint="default"/>
      </w:rPr>
    </w:lvl>
    <w:lvl w:ilvl="4" w:tplc="300A0003">
      <w:start w:val="1"/>
      <w:numFmt w:val="bullet"/>
      <w:lvlText w:val="o"/>
      <w:lvlJc w:val="left"/>
      <w:pPr>
        <w:ind w:left="4170" w:hanging="360"/>
      </w:pPr>
      <w:rPr>
        <w:rFonts w:ascii="Courier New" w:hAnsi="Courier New" w:cs="Courier New" w:hint="default"/>
      </w:rPr>
    </w:lvl>
    <w:lvl w:ilvl="5" w:tplc="300A0005">
      <w:start w:val="1"/>
      <w:numFmt w:val="bullet"/>
      <w:lvlText w:val=""/>
      <w:lvlJc w:val="left"/>
      <w:pPr>
        <w:ind w:left="4890" w:hanging="360"/>
      </w:pPr>
      <w:rPr>
        <w:rFonts w:ascii="Wingdings" w:hAnsi="Wingdings" w:hint="default"/>
      </w:rPr>
    </w:lvl>
    <w:lvl w:ilvl="6" w:tplc="300A0001">
      <w:start w:val="1"/>
      <w:numFmt w:val="bullet"/>
      <w:lvlText w:val=""/>
      <w:lvlJc w:val="left"/>
      <w:pPr>
        <w:ind w:left="5610" w:hanging="360"/>
      </w:pPr>
      <w:rPr>
        <w:rFonts w:ascii="Symbol" w:hAnsi="Symbol" w:hint="default"/>
      </w:rPr>
    </w:lvl>
    <w:lvl w:ilvl="7" w:tplc="300A0003">
      <w:start w:val="1"/>
      <w:numFmt w:val="bullet"/>
      <w:lvlText w:val="o"/>
      <w:lvlJc w:val="left"/>
      <w:pPr>
        <w:ind w:left="6330" w:hanging="360"/>
      </w:pPr>
      <w:rPr>
        <w:rFonts w:ascii="Courier New" w:hAnsi="Courier New" w:cs="Courier New" w:hint="default"/>
      </w:rPr>
    </w:lvl>
    <w:lvl w:ilvl="8" w:tplc="300A0005">
      <w:start w:val="1"/>
      <w:numFmt w:val="bullet"/>
      <w:lvlText w:val=""/>
      <w:lvlJc w:val="left"/>
      <w:pPr>
        <w:ind w:left="7050" w:hanging="360"/>
      </w:pPr>
      <w:rPr>
        <w:rFonts w:ascii="Wingdings" w:hAnsi="Wingdings" w:hint="default"/>
      </w:rPr>
    </w:lvl>
  </w:abstractNum>
  <w:abstractNum w:abstractNumId="2" w15:restartNumberingAfterBreak="0">
    <w:nsid w:val="03741D12"/>
    <w:multiLevelType w:val="hybridMultilevel"/>
    <w:tmpl w:val="31AABC04"/>
    <w:lvl w:ilvl="0" w:tplc="C060D8BC">
      <w:numFmt w:val="bullet"/>
      <w:lvlText w:val="-"/>
      <w:lvlJc w:val="left"/>
      <w:pPr>
        <w:ind w:left="1919" w:hanging="360"/>
      </w:pPr>
      <w:rPr>
        <w:rFonts w:ascii="Arial" w:eastAsia="Times New Roman" w:hAnsi="Arial" w:cs="Arial" w:hint="default"/>
      </w:rPr>
    </w:lvl>
    <w:lvl w:ilvl="1" w:tplc="300A0003" w:tentative="1">
      <w:start w:val="1"/>
      <w:numFmt w:val="bullet"/>
      <w:lvlText w:val="o"/>
      <w:lvlJc w:val="left"/>
      <w:pPr>
        <w:ind w:left="2639" w:hanging="360"/>
      </w:pPr>
      <w:rPr>
        <w:rFonts w:ascii="Courier New" w:hAnsi="Courier New" w:cs="Courier New" w:hint="default"/>
      </w:rPr>
    </w:lvl>
    <w:lvl w:ilvl="2" w:tplc="300A0005" w:tentative="1">
      <w:start w:val="1"/>
      <w:numFmt w:val="bullet"/>
      <w:lvlText w:val=""/>
      <w:lvlJc w:val="left"/>
      <w:pPr>
        <w:ind w:left="3359" w:hanging="360"/>
      </w:pPr>
      <w:rPr>
        <w:rFonts w:ascii="Wingdings" w:hAnsi="Wingdings" w:hint="default"/>
      </w:rPr>
    </w:lvl>
    <w:lvl w:ilvl="3" w:tplc="300A0001" w:tentative="1">
      <w:start w:val="1"/>
      <w:numFmt w:val="bullet"/>
      <w:lvlText w:val=""/>
      <w:lvlJc w:val="left"/>
      <w:pPr>
        <w:ind w:left="4079" w:hanging="360"/>
      </w:pPr>
      <w:rPr>
        <w:rFonts w:ascii="Symbol" w:hAnsi="Symbol" w:hint="default"/>
      </w:rPr>
    </w:lvl>
    <w:lvl w:ilvl="4" w:tplc="300A0003" w:tentative="1">
      <w:start w:val="1"/>
      <w:numFmt w:val="bullet"/>
      <w:lvlText w:val="o"/>
      <w:lvlJc w:val="left"/>
      <w:pPr>
        <w:ind w:left="4799" w:hanging="360"/>
      </w:pPr>
      <w:rPr>
        <w:rFonts w:ascii="Courier New" w:hAnsi="Courier New" w:cs="Courier New" w:hint="default"/>
      </w:rPr>
    </w:lvl>
    <w:lvl w:ilvl="5" w:tplc="300A0005" w:tentative="1">
      <w:start w:val="1"/>
      <w:numFmt w:val="bullet"/>
      <w:lvlText w:val=""/>
      <w:lvlJc w:val="left"/>
      <w:pPr>
        <w:ind w:left="5519" w:hanging="360"/>
      </w:pPr>
      <w:rPr>
        <w:rFonts w:ascii="Wingdings" w:hAnsi="Wingdings" w:hint="default"/>
      </w:rPr>
    </w:lvl>
    <w:lvl w:ilvl="6" w:tplc="300A0001" w:tentative="1">
      <w:start w:val="1"/>
      <w:numFmt w:val="bullet"/>
      <w:lvlText w:val=""/>
      <w:lvlJc w:val="left"/>
      <w:pPr>
        <w:ind w:left="6239" w:hanging="360"/>
      </w:pPr>
      <w:rPr>
        <w:rFonts w:ascii="Symbol" w:hAnsi="Symbol" w:hint="default"/>
      </w:rPr>
    </w:lvl>
    <w:lvl w:ilvl="7" w:tplc="300A0003" w:tentative="1">
      <w:start w:val="1"/>
      <w:numFmt w:val="bullet"/>
      <w:lvlText w:val="o"/>
      <w:lvlJc w:val="left"/>
      <w:pPr>
        <w:ind w:left="6959" w:hanging="360"/>
      </w:pPr>
      <w:rPr>
        <w:rFonts w:ascii="Courier New" w:hAnsi="Courier New" w:cs="Courier New" w:hint="default"/>
      </w:rPr>
    </w:lvl>
    <w:lvl w:ilvl="8" w:tplc="300A0005" w:tentative="1">
      <w:start w:val="1"/>
      <w:numFmt w:val="bullet"/>
      <w:lvlText w:val=""/>
      <w:lvlJc w:val="left"/>
      <w:pPr>
        <w:ind w:left="7679" w:hanging="360"/>
      </w:pPr>
      <w:rPr>
        <w:rFonts w:ascii="Wingdings" w:hAnsi="Wingdings" w:hint="default"/>
      </w:rPr>
    </w:lvl>
  </w:abstractNum>
  <w:abstractNum w:abstractNumId="3" w15:restartNumberingAfterBreak="0">
    <w:nsid w:val="0BE16E73"/>
    <w:multiLevelType w:val="hybridMultilevel"/>
    <w:tmpl w:val="6DD621D6"/>
    <w:lvl w:ilvl="0" w:tplc="300A0017">
      <w:start w:val="1"/>
      <w:numFmt w:val="lowerLetter"/>
      <w:lvlText w:val="%1)"/>
      <w:lvlJc w:val="left"/>
      <w:pPr>
        <w:ind w:left="1344" w:hanging="360"/>
      </w:pPr>
    </w:lvl>
    <w:lvl w:ilvl="1" w:tplc="300A0019" w:tentative="1">
      <w:start w:val="1"/>
      <w:numFmt w:val="lowerLetter"/>
      <w:lvlText w:val="%2."/>
      <w:lvlJc w:val="left"/>
      <w:pPr>
        <w:ind w:left="2064" w:hanging="360"/>
      </w:pPr>
    </w:lvl>
    <w:lvl w:ilvl="2" w:tplc="300A001B" w:tentative="1">
      <w:start w:val="1"/>
      <w:numFmt w:val="lowerRoman"/>
      <w:lvlText w:val="%3."/>
      <w:lvlJc w:val="right"/>
      <w:pPr>
        <w:ind w:left="2784" w:hanging="180"/>
      </w:pPr>
    </w:lvl>
    <w:lvl w:ilvl="3" w:tplc="300A000F" w:tentative="1">
      <w:start w:val="1"/>
      <w:numFmt w:val="decimal"/>
      <w:lvlText w:val="%4."/>
      <w:lvlJc w:val="left"/>
      <w:pPr>
        <w:ind w:left="3504" w:hanging="360"/>
      </w:pPr>
    </w:lvl>
    <w:lvl w:ilvl="4" w:tplc="300A0019" w:tentative="1">
      <w:start w:val="1"/>
      <w:numFmt w:val="lowerLetter"/>
      <w:lvlText w:val="%5."/>
      <w:lvlJc w:val="left"/>
      <w:pPr>
        <w:ind w:left="4224" w:hanging="360"/>
      </w:pPr>
    </w:lvl>
    <w:lvl w:ilvl="5" w:tplc="300A001B" w:tentative="1">
      <w:start w:val="1"/>
      <w:numFmt w:val="lowerRoman"/>
      <w:lvlText w:val="%6."/>
      <w:lvlJc w:val="right"/>
      <w:pPr>
        <w:ind w:left="4944" w:hanging="180"/>
      </w:pPr>
    </w:lvl>
    <w:lvl w:ilvl="6" w:tplc="300A000F" w:tentative="1">
      <w:start w:val="1"/>
      <w:numFmt w:val="decimal"/>
      <w:lvlText w:val="%7."/>
      <w:lvlJc w:val="left"/>
      <w:pPr>
        <w:ind w:left="5664" w:hanging="360"/>
      </w:pPr>
    </w:lvl>
    <w:lvl w:ilvl="7" w:tplc="300A0019" w:tentative="1">
      <w:start w:val="1"/>
      <w:numFmt w:val="lowerLetter"/>
      <w:lvlText w:val="%8."/>
      <w:lvlJc w:val="left"/>
      <w:pPr>
        <w:ind w:left="6384" w:hanging="360"/>
      </w:pPr>
    </w:lvl>
    <w:lvl w:ilvl="8" w:tplc="300A001B" w:tentative="1">
      <w:start w:val="1"/>
      <w:numFmt w:val="lowerRoman"/>
      <w:lvlText w:val="%9."/>
      <w:lvlJc w:val="right"/>
      <w:pPr>
        <w:ind w:left="7104" w:hanging="180"/>
      </w:pPr>
    </w:lvl>
  </w:abstractNum>
  <w:abstractNum w:abstractNumId="4" w15:restartNumberingAfterBreak="0">
    <w:nsid w:val="0D7D1653"/>
    <w:multiLevelType w:val="hybridMultilevel"/>
    <w:tmpl w:val="4252B072"/>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5" w15:restartNumberingAfterBreak="0">
    <w:nsid w:val="10566A9B"/>
    <w:multiLevelType w:val="hybridMultilevel"/>
    <w:tmpl w:val="17C67F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2DC3E4A"/>
    <w:multiLevelType w:val="hybridMultilevel"/>
    <w:tmpl w:val="861EB014"/>
    <w:lvl w:ilvl="0" w:tplc="B5424F6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3F5493C"/>
    <w:multiLevelType w:val="hybridMultilevel"/>
    <w:tmpl w:val="83B060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D4E61AA"/>
    <w:multiLevelType w:val="hybridMultilevel"/>
    <w:tmpl w:val="EDC8C734"/>
    <w:lvl w:ilvl="0" w:tplc="66F689CE">
      <w:start w:val="1"/>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5F3260A"/>
    <w:multiLevelType w:val="hybridMultilevel"/>
    <w:tmpl w:val="EBA84084"/>
    <w:lvl w:ilvl="0" w:tplc="6A941A70">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279C49A4"/>
    <w:multiLevelType w:val="hybridMultilevel"/>
    <w:tmpl w:val="C1CC50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8B27716"/>
    <w:multiLevelType w:val="hybridMultilevel"/>
    <w:tmpl w:val="B574D6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9CF3351"/>
    <w:multiLevelType w:val="hybridMultilevel"/>
    <w:tmpl w:val="240A1060"/>
    <w:lvl w:ilvl="0" w:tplc="B69C21EE">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C8E0157"/>
    <w:multiLevelType w:val="hybridMultilevel"/>
    <w:tmpl w:val="2A86A8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E7A38F0"/>
    <w:multiLevelType w:val="hybridMultilevel"/>
    <w:tmpl w:val="AF4ED920"/>
    <w:lvl w:ilvl="0" w:tplc="72C46074">
      <w:start w:val="1"/>
      <w:numFmt w:val="lowerRoman"/>
      <w:lvlText w:val="(%1)"/>
      <w:lvlJc w:val="left"/>
      <w:pPr>
        <w:ind w:left="1854" w:hanging="720"/>
      </w:pPr>
      <w:rPr>
        <w:rFonts w:hint="default"/>
      </w:rPr>
    </w:lvl>
    <w:lvl w:ilvl="1" w:tplc="300A0019" w:tentative="1">
      <w:start w:val="1"/>
      <w:numFmt w:val="lowerLetter"/>
      <w:lvlText w:val="%2."/>
      <w:lvlJc w:val="left"/>
      <w:pPr>
        <w:ind w:left="2214" w:hanging="360"/>
      </w:pPr>
    </w:lvl>
    <w:lvl w:ilvl="2" w:tplc="300A001B" w:tentative="1">
      <w:start w:val="1"/>
      <w:numFmt w:val="lowerRoman"/>
      <w:lvlText w:val="%3."/>
      <w:lvlJc w:val="right"/>
      <w:pPr>
        <w:ind w:left="2934" w:hanging="180"/>
      </w:pPr>
    </w:lvl>
    <w:lvl w:ilvl="3" w:tplc="300A000F" w:tentative="1">
      <w:start w:val="1"/>
      <w:numFmt w:val="decimal"/>
      <w:lvlText w:val="%4."/>
      <w:lvlJc w:val="left"/>
      <w:pPr>
        <w:ind w:left="3654" w:hanging="360"/>
      </w:pPr>
    </w:lvl>
    <w:lvl w:ilvl="4" w:tplc="300A0019" w:tentative="1">
      <w:start w:val="1"/>
      <w:numFmt w:val="lowerLetter"/>
      <w:lvlText w:val="%5."/>
      <w:lvlJc w:val="left"/>
      <w:pPr>
        <w:ind w:left="4374" w:hanging="360"/>
      </w:pPr>
    </w:lvl>
    <w:lvl w:ilvl="5" w:tplc="300A001B" w:tentative="1">
      <w:start w:val="1"/>
      <w:numFmt w:val="lowerRoman"/>
      <w:lvlText w:val="%6."/>
      <w:lvlJc w:val="right"/>
      <w:pPr>
        <w:ind w:left="5094" w:hanging="180"/>
      </w:pPr>
    </w:lvl>
    <w:lvl w:ilvl="6" w:tplc="300A000F" w:tentative="1">
      <w:start w:val="1"/>
      <w:numFmt w:val="decimal"/>
      <w:lvlText w:val="%7."/>
      <w:lvlJc w:val="left"/>
      <w:pPr>
        <w:ind w:left="5814" w:hanging="360"/>
      </w:pPr>
    </w:lvl>
    <w:lvl w:ilvl="7" w:tplc="300A0019" w:tentative="1">
      <w:start w:val="1"/>
      <w:numFmt w:val="lowerLetter"/>
      <w:lvlText w:val="%8."/>
      <w:lvlJc w:val="left"/>
      <w:pPr>
        <w:ind w:left="6534" w:hanging="360"/>
      </w:pPr>
    </w:lvl>
    <w:lvl w:ilvl="8" w:tplc="300A001B" w:tentative="1">
      <w:start w:val="1"/>
      <w:numFmt w:val="lowerRoman"/>
      <w:lvlText w:val="%9."/>
      <w:lvlJc w:val="right"/>
      <w:pPr>
        <w:ind w:left="7254" w:hanging="180"/>
      </w:pPr>
    </w:lvl>
  </w:abstractNum>
  <w:abstractNum w:abstractNumId="15" w15:restartNumberingAfterBreak="0">
    <w:nsid w:val="30B70D44"/>
    <w:multiLevelType w:val="hybridMultilevel"/>
    <w:tmpl w:val="2B942B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1CF0ADC"/>
    <w:multiLevelType w:val="hybridMultilevel"/>
    <w:tmpl w:val="8E12ED50"/>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498699A"/>
    <w:multiLevelType w:val="hybridMultilevel"/>
    <w:tmpl w:val="0820370E"/>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34D05BAE"/>
    <w:multiLevelType w:val="hybridMultilevel"/>
    <w:tmpl w:val="F9689A9A"/>
    <w:lvl w:ilvl="0" w:tplc="DAB84EC2">
      <w:start w:val="5"/>
      <w:numFmt w:val="bullet"/>
      <w:lvlText w:val="-"/>
      <w:lvlJc w:val="left"/>
      <w:pPr>
        <w:ind w:left="1566" w:hanging="360"/>
      </w:pPr>
      <w:rPr>
        <w:rFonts w:ascii="Arial" w:eastAsia="Times New Roman" w:hAnsi="Arial" w:cs="Arial" w:hint="default"/>
        <w:b/>
      </w:rPr>
    </w:lvl>
    <w:lvl w:ilvl="1" w:tplc="300A0003">
      <w:start w:val="1"/>
      <w:numFmt w:val="bullet"/>
      <w:lvlText w:val="o"/>
      <w:lvlJc w:val="left"/>
      <w:pPr>
        <w:ind w:left="2286" w:hanging="360"/>
      </w:pPr>
      <w:rPr>
        <w:rFonts w:ascii="Courier New" w:hAnsi="Courier New" w:cs="Courier New" w:hint="default"/>
      </w:rPr>
    </w:lvl>
    <w:lvl w:ilvl="2" w:tplc="300A0005" w:tentative="1">
      <w:start w:val="1"/>
      <w:numFmt w:val="bullet"/>
      <w:lvlText w:val=""/>
      <w:lvlJc w:val="left"/>
      <w:pPr>
        <w:ind w:left="3006" w:hanging="360"/>
      </w:pPr>
      <w:rPr>
        <w:rFonts w:ascii="Wingdings" w:hAnsi="Wingdings" w:hint="default"/>
      </w:rPr>
    </w:lvl>
    <w:lvl w:ilvl="3" w:tplc="300A0001" w:tentative="1">
      <w:start w:val="1"/>
      <w:numFmt w:val="bullet"/>
      <w:lvlText w:val=""/>
      <w:lvlJc w:val="left"/>
      <w:pPr>
        <w:ind w:left="3726" w:hanging="360"/>
      </w:pPr>
      <w:rPr>
        <w:rFonts w:ascii="Symbol" w:hAnsi="Symbol" w:hint="default"/>
      </w:rPr>
    </w:lvl>
    <w:lvl w:ilvl="4" w:tplc="300A0003" w:tentative="1">
      <w:start w:val="1"/>
      <w:numFmt w:val="bullet"/>
      <w:lvlText w:val="o"/>
      <w:lvlJc w:val="left"/>
      <w:pPr>
        <w:ind w:left="4446" w:hanging="360"/>
      </w:pPr>
      <w:rPr>
        <w:rFonts w:ascii="Courier New" w:hAnsi="Courier New" w:cs="Courier New" w:hint="default"/>
      </w:rPr>
    </w:lvl>
    <w:lvl w:ilvl="5" w:tplc="300A0005" w:tentative="1">
      <w:start w:val="1"/>
      <w:numFmt w:val="bullet"/>
      <w:lvlText w:val=""/>
      <w:lvlJc w:val="left"/>
      <w:pPr>
        <w:ind w:left="5166" w:hanging="360"/>
      </w:pPr>
      <w:rPr>
        <w:rFonts w:ascii="Wingdings" w:hAnsi="Wingdings" w:hint="default"/>
      </w:rPr>
    </w:lvl>
    <w:lvl w:ilvl="6" w:tplc="300A0001" w:tentative="1">
      <w:start w:val="1"/>
      <w:numFmt w:val="bullet"/>
      <w:lvlText w:val=""/>
      <w:lvlJc w:val="left"/>
      <w:pPr>
        <w:ind w:left="5886" w:hanging="360"/>
      </w:pPr>
      <w:rPr>
        <w:rFonts w:ascii="Symbol" w:hAnsi="Symbol" w:hint="default"/>
      </w:rPr>
    </w:lvl>
    <w:lvl w:ilvl="7" w:tplc="300A0003" w:tentative="1">
      <w:start w:val="1"/>
      <w:numFmt w:val="bullet"/>
      <w:lvlText w:val="o"/>
      <w:lvlJc w:val="left"/>
      <w:pPr>
        <w:ind w:left="6606" w:hanging="360"/>
      </w:pPr>
      <w:rPr>
        <w:rFonts w:ascii="Courier New" w:hAnsi="Courier New" w:cs="Courier New" w:hint="default"/>
      </w:rPr>
    </w:lvl>
    <w:lvl w:ilvl="8" w:tplc="300A0005" w:tentative="1">
      <w:start w:val="1"/>
      <w:numFmt w:val="bullet"/>
      <w:lvlText w:val=""/>
      <w:lvlJc w:val="left"/>
      <w:pPr>
        <w:ind w:left="7326" w:hanging="360"/>
      </w:pPr>
      <w:rPr>
        <w:rFonts w:ascii="Wingdings" w:hAnsi="Wingdings" w:hint="default"/>
      </w:rPr>
    </w:lvl>
  </w:abstractNum>
  <w:abstractNum w:abstractNumId="19" w15:restartNumberingAfterBreak="0">
    <w:nsid w:val="37FD1979"/>
    <w:multiLevelType w:val="hybridMultilevel"/>
    <w:tmpl w:val="F78AF66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0" w15:restartNumberingAfterBreak="0">
    <w:nsid w:val="38067284"/>
    <w:multiLevelType w:val="hybridMultilevel"/>
    <w:tmpl w:val="27B25554"/>
    <w:lvl w:ilvl="0" w:tplc="300A0001">
      <w:start w:val="1"/>
      <w:numFmt w:val="bullet"/>
      <w:lvlText w:val=""/>
      <w:lvlJc w:val="left"/>
      <w:pPr>
        <w:ind w:left="1566" w:hanging="360"/>
      </w:pPr>
      <w:rPr>
        <w:rFonts w:ascii="Symbol" w:hAnsi="Symbo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91F0E16"/>
    <w:multiLevelType w:val="hybridMultilevel"/>
    <w:tmpl w:val="27568436"/>
    <w:lvl w:ilvl="0" w:tplc="A83818FE">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416B5837"/>
    <w:multiLevelType w:val="multilevel"/>
    <w:tmpl w:val="A13CFD1E"/>
    <w:lvl w:ilvl="0">
      <w:start w:val="1"/>
      <w:numFmt w:val="decimal"/>
      <w:lvlText w:val="%1)"/>
      <w:lvlJc w:val="left"/>
      <w:pPr>
        <w:tabs>
          <w:tab w:val="num" w:pos="720"/>
        </w:tabs>
        <w:ind w:left="720" w:hanging="720"/>
      </w:pPr>
    </w:lvl>
    <w:lvl w:ilvl="1">
      <w:start w:val="1"/>
      <w:numFmt w:val="bullet"/>
      <w:lvlText w:val="o"/>
      <w:lvlJc w:val="left"/>
      <w:pPr>
        <w:tabs>
          <w:tab w:val="num" w:pos="1440"/>
        </w:tabs>
        <w:ind w:left="1440" w:hanging="72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472B096F"/>
    <w:multiLevelType w:val="hybridMultilevel"/>
    <w:tmpl w:val="99E8D948"/>
    <w:lvl w:ilvl="0" w:tplc="008C35D0">
      <w:start w:val="1"/>
      <w:numFmt w:val="bullet"/>
      <w:lvlText w:val="-"/>
      <w:lvlJc w:val="left"/>
      <w:pPr>
        <w:ind w:left="720" w:hanging="360"/>
      </w:pPr>
      <w:rPr>
        <w:rFonts w:ascii="Arial" w:eastAsia="Times New Roman" w:hAnsi="Arial" w:cs="Aria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485931A2"/>
    <w:multiLevelType w:val="hybridMultilevel"/>
    <w:tmpl w:val="93ACD9F4"/>
    <w:lvl w:ilvl="0" w:tplc="110C6C5E">
      <w:start w:val="1"/>
      <w:numFmt w:val="lowerLetter"/>
      <w:lvlText w:val="%1)"/>
      <w:lvlJc w:val="left"/>
      <w:pPr>
        <w:ind w:left="720" w:hanging="360"/>
      </w:pPr>
      <w:rPr>
        <w:rFonts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93700E8"/>
    <w:multiLevelType w:val="hybridMultilevel"/>
    <w:tmpl w:val="F474BD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9C727E2"/>
    <w:multiLevelType w:val="hybridMultilevel"/>
    <w:tmpl w:val="7CE6019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4B605385"/>
    <w:multiLevelType w:val="hybridMultilevel"/>
    <w:tmpl w:val="13AE5DB8"/>
    <w:lvl w:ilvl="0" w:tplc="66F689CE">
      <w:start w:val="1"/>
      <w:numFmt w:val="bullet"/>
      <w:lvlText w:val="-"/>
      <w:lvlJc w:val="left"/>
      <w:pPr>
        <w:ind w:left="1068" w:hanging="360"/>
      </w:pPr>
      <w:rPr>
        <w:rFonts w:ascii="Arial" w:eastAsia="Times New Roman" w:hAnsi="Arial" w:cs="Arial" w:hint="default"/>
      </w:rPr>
    </w:lvl>
    <w:lvl w:ilvl="1" w:tplc="DAB84EC2">
      <w:start w:val="5"/>
      <w:numFmt w:val="bullet"/>
      <w:lvlText w:val="-"/>
      <w:lvlJc w:val="left"/>
      <w:pPr>
        <w:ind w:left="1788" w:hanging="360"/>
      </w:pPr>
      <w:rPr>
        <w:rFonts w:ascii="Arial" w:eastAsia="Times New Roman" w:hAnsi="Arial" w:cs="Arial"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8" w15:restartNumberingAfterBreak="0">
    <w:nsid w:val="4BC62779"/>
    <w:multiLevelType w:val="hybridMultilevel"/>
    <w:tmpl w:val="06BA494A"/>
    <w:lvl w:ilvl="0" w:tplc="C6900ECE">
      <w:numFmt w:val="bullet"/>
      <w:lvlText w:val="-"/>
      <w:lvlJc w:val="left"/>
      <w:pPr>
        <w:ind w:left="720" w:hanging="360"/>
      </w:pPr>
      <w:rPr>
        <w:rFonts w:ascii="Arial" w:eastAsia="Times New Roman" w:hAnsi="Arial" w:cs="Aria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4DD82A89"/>
    <w:multiLevelType w:val="hybridMultilevel"/>
    <w:tmpl w:val="F55EC87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514A546F"/>
    <w:multiLevelType w:val="hybridMultilevel"/>
    <w:tmpl w:val="D422A3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1A20AE0"/>
    <w:multiLevelType w:val="hybridMultilevel"/>
    <w:tmpl w:val="B2A88CF4"/>
    <w:lvl w:ilvl="0" w:tplc="300A0013">
      <w:start w:val="1"/>
      <w:numFmt w:val="upperRoman"/>
      <w:lvlText w:val="%1."/>
      <w:lvlJc w:val="right"/>
      <w:pPr>
        <w:ind w:left="1569" w:hanging="360"/>
      </w:pPr>
      <w:rPr>
        <w:rFonts w:hint="default"/>
      </w:rPr>
    </w:lvl>
    <w:lvl w:ilvl="1" w:tplc="300A0003">
      <w:start w:val="1"/>
      <w:numFmt w:val="bullet"/>
      <w:lvlText w:val="o"/>
      <w:lvlJc w:val="left"/>
      <w:pPr>
        <w:ind w:left="2289" w:hanging="360"/>
      </w:pPr>
      <w:rPr>
        <w:rFonts w:ascii="Courier New" w:hAnsi="Courier New" w:cs="Courier New" w:hint="default"/>
      </w:rPr>
    </w:lvl>
    <w:lvl w:ilvl="2" w:tplc="300A0005">
      <w:start w:val="1"/>
      <w:numFmt w:val="bullet"/>
      <w:lvlText w:val=""/>
      <w:lvlJc w:val="left"/>
      <w:pPr>
        <w:ind w:left="3009" w:hanging="360"/>
      </w:pPr>
      <w:rPr>
        <w:rFonts w:ascii="Wingdings" w:hAnsi="Wingdings" w:hint="default"/>
      </w:rPr>
    </w:lvl>
    <w:lvl w:ilvl="3" w:tplc="300A0001">
      <w:start w:val="1"/>
      <w:numFmt w:val="bullet"/>
      <w:lvlText w:val=""/>
      <w:lvlJc w:val="left"/>
      <w:pPr>
        <w:ind w:left="3729" w:hanging="360"/>
      </w:pPr>
      <w:rPr>
        <w:rFonts w:ascii="Symbol" w:hAnsi="Symbol" w:hint="default"/>
      </w:rPr>
    </w:lvl>
    <w:lvl w:ilvl="4" w:tplc="300A0003">
      <w:start w:val="1"/>
      <w:numFmt w:val="bullet"/>
      <w:lvlText w:val="o"/>
      <w:lvlJc w:val="left"/>
      <w:pPr>
        <w:ind w:left="4449" w:hanging="360"/>
      </w:pPr>
      <w:rPr>
        <w:rFonts w:ascii="Courier New" w:hAnsi="Courier New" w:cs="Courier New" w:hint="default"/>
      </w:rPr>
    </w:lvl>
    <w:lvl w:ilvl="5" w:tplc="300A0005">
      <w:start w:val="1"/>
      <w:numFmt w:val="bullet"/>
      <w:lvlText w:val=""/>
      <w:lvlJc w:val="left"/>
      <w:pPr>
        <w:ind w:left="5169" w:hanging="360"/>
      </w:pPr>
      <w:rPr>
        <w:rFonts w:ascii="Wingdings" w:hAnsi="Wingdings" w:hint="default"/>
      </w:rPr>
    </w:lvl>
    <w:lvl w:ilvl="6" w:tplc="300A0001">
      <w:start w:val="1"/>
      <w:numFmt w:val="bullet"/>
      <w:lvlText w:val=""/>
      <w:lvlJc w:val="left"/>
      <w:pPr>
        <w:ind w:left="5889" w:hanging="360"/>
      </w:pPr>
      <w:rPr>
        <w:rFonts w:ascii="Symbol" w:hAnsi="Symbol" w:hint="default"/>
      </w:rPr>
    </w:lvl>
    <w:lvl w:ilvl="7" w:tplc="300A0003">
      <w:start w:val="1"/>
      <w:numFmt w:val="bullet"/>
      <w:lvlText w:val="o"/>
      <w:lvlJc w:val="left"/>
      <w:pPr>
        <w:ind w:left="6609" w:hanging="360"/>
      </w:pPr>
      <w:rPr>
        <w:rFonts w:ascii="Courier New" w:hAnsi="Courier New" w:cs="Courier New" w:hint="default"/>
      </w:rPr>
    </w:lvl>
    <w:lvl w:ilvl="8" w:tplc="300A0005">
      <w:start w:val="1"/>
      <w:numFmt w:val="bullet"/>
      <w:lvlText w:val=""/>
      <w:lvlJc w:val="left"/>
      <w:pPr>
        <w:ind w:left="7329" w:hanging="360"/>
      </w:pPr>
      <w:rPr>
        <w:rFonts w:ascii="Wingdings" w:hAnsi="Wingdings" w:hint="default"/>
      </w:rPr>
    </w:lvl>
  </w:abstractNum>
  <w:abstractNum w:abstractNumId="32" w15:restartNumberingAfterBreak="0">
    <w:nsid w:val="593768C2"/>
    <w:multiLevelType w:val="hybridMultilevel"/>
    <w:tmpl w:val="2F3A4DD8"/>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3" w15:restartNumberingAfterBreak="0">
    <w:nsid w:val="5C3E75D3"/>
    <w:multiLevelType w:val="hybridMultilevel"/>
    <w:tmpl w:val="BFB8752C"/>
    <w:lvl w:ilvl="0" w:tplc="34D8B8AC">
      <w:start w:val="1"/>
      <w:numFmt w:val="lowerRoman"/>
      <w:lvlText w:val="(%1)"/>
      <w:lvlJc w:val="left"/>
      <w:pPr>
        <w:ind w:left="720" w:hanging="360"/>
      </w:pPr>
    </w:lvl>
    <w:lvl w:ilvl="1" w:tplc="300A0019">
      <w:start w:val="1"/>
      <w:numFmt w:val="lowerLetter"/>
      <w:lvlText w:val="%2."/>
      <w:lvlJc w:val="left"/>
      <w:pPr>
        <w:ind w:left="1440" w:hanging="360"/>
      </w:pPr>
    </w:lvl>
    <w:lvl w:ilvl="2" w:tplc="34D8B8AC">
      <w:start w:val="1"/>
      <w:numFmt w:val="lowerRoman"/>
      <w:lvlText w:val="(%3)"/>
      <w:lvlJc w:val="lef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4" w15:restartNumberingAfterBreak="0">
    <w:nsid w:val="5DFA19FD"/>
    <w:multiLevelType w:val="hybridMultilevel"/>
    <w:tmpl w:val="0AEAFCCA"/>
    <w:lvl w:ilvl="0" w:tplc="299A7342">
      <w:numFmt w:val="bullet"/>
      <w:lvlText w:val="-"/>
      <w:lvlJc w:val="left"/>
      <w:pPr>
        <w:ind w:left="1429" w:hanging="360"/>
      </w:pPr>
      <w:rPr>
        <w:rFonts w:ascii="Arial" w:eastAsia="Times New Roman" w:hAnsi="Arial" w:cs="Arial" w:hint="default"/>
        <w:b w:val="0"/>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5" w15:restartNumberingAfterBreak="0">
    <w:nsid w:val="5FF2234B"/>
    <w:multiLevelType w:val="hybridMultilevel"/>
    <w:tmpl w:val="05A61E1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57B7BEB"/>
    <w:multiLevelType w:val="hybridMultilevel"/>
    <w:tmpl w:val="3816006A"/>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66CA2537"/>
    <w:multiLevelType w:val="hybridMultilevel"/>
    <w:tmpl w:val="C54A2C66"/>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66DF5710"/>
    <w:multiLevelType w:val="hybridMultilevel"/>
    <w:tmpl w:val="A15840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68165A51"/>
    <w:multiLevelType w:val="hybridMultilevel"/>
    <w:tmpl w:val="1AE4E4D4"/>
    <w:lvl w:ilvl="0" w:tplc="B41AECCE">
      <w:start w:val="4"/>
      <w:numFmt w:val="bullet"/>
      <w:lvlText w:val="-"/>
      <w:lvlJc w:val="left"/>
      <w:pPr>
        <w:ind w:left="1287" w:hanging="360"/>
      </w:pPr>
      <w:rPr>
        <w:rFonts w:ascii="Arial" w:eastAsia="Times New Roman" w:hAnsi="Arial" w:cs="Aria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40" w15:restartNumberingAfterBreak="0">
    <w:nsid w:val="6A35340F"/>
    <w:multiLevelType w:val="hybridMultilevel"/>
    <w:tmpl w:val="E7A44226"/>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41" w15:restartNumberingAfterBreak="0">
    <w:nsid w:val="6D1C2D2D"/>
    <w:multiLevelType w:val="hybridMultilevel"/>
    <w:tmpl w:val="A91AD4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6F9E4075"/>
    <w:multiLevelType w:val="multilevel"/>
    <w:tmpl w:val="FD8801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A6258D9"/>
    <w:multiLevelType w:val="hybridMultilevel"/>
    <w:tmpl w:val="AF68D426"/>
    <w:lvl w:ilvl="0" w:tplc="54B6531A">
      <w:start w:val="1"/>
      <w:numFmt w:val="lowerLetter"/>
      <w:lvlText w:val="%1)"/>
      <w:lvlJc w:val="left"/>
      <w:pPr>
        <w:ind w:left="786" w:hanging="360"/>
      </w:pPr>
      <w:rPr>
        <w:rFonts w:hint="default"/>
      </w:rPr>
    </w:lvl>
    <w:lvl w:ilvl="1" w:tplc="300A0019" w:tentative="1">
      <w:start w:val="1"/>
      <w:numFmt w:val="lowerLetter"/>
      <w:lvlText w:val="%2."/>
      <w:lvlJc w:val="left"/>
      <w:pPr>
        <w:ind w:left="1506" w:hanging="360"/>
      </w:pPr>
    </w:lvl>
    <w:lvl w:ilvl="2" w:tplc="300A001B" w:tentative="1">
      <w:start w:val="1"/>
      <w:numFmt w:val="lowerRoman"/>
      <w:lvlText w:val="%3."/>
      <w:lvlJc w:val="right"/>
      <w:pPr>
        <w:ind w:left="2226" w:hanging="180"/>
      </w:pPr>
    </w:lvl>
    <w:lvl w:ilvl="3" w:tplc="300A000F" w:tentative="1">
      <w:start w:val="1"/>
      <w:numFmt w:val="decimal"/>
      <w:lvlText w:val="%4."/>
      <w:lvlJc w:val="left"/>
      <w:pPr>
        <w:ind w:left="2946" w:hanging="360"/>
      </w:pPr>
    </w:lvl>
    <w:lvl w:ilvl="4" w:tplc="300A0019" w:tentative="1">
      <w:start w:val="1"/>
      <w:numFmt w:val="lowerLetter"/>
      <w:lvlText w:val="%5."/>
      <w:lvlJc w:val="left"/>
      <w:pPr>
        <w:ind w:left="3666" w:hanging="360"/>
      </w:pPr>
    </w:lvl>
    <w:lvl w:ilvl="5" w:tplc="300A001B" w:tentative="1">
      <w:start w:val="1"/>
      <w:numFmt w:val="lowerRoman"/>
      <w:lvlText w:val="%6."/>
      <w:lvlJc w:val="right"/>
      <w:pPr>
        <w:ind w:left="4386" w:hanging="180"/>
      </w:pPr>
    </w:lvl>
    <w:lvl w:ilvl="6" w:tplc="300A000F" w:tentative="1">
      <w:start w:val="1"/>
      <w:numFmt w:val="decimal"/>
      <w:lvlText w:val="%7."/>
      <w:lvlJc w:val="left"/>
      <w:pPr>
        <w:ind w:left="5106" w:hanging="360"/>
      </w:pPr>
    </w:lvl>
    <w:lvl w:ilvl="7" w:tplc="300A0019" w:tentative="1">
      <w:start w:val="1"/>
      <w:numFmt w:val="lowerLetter"/>
      <w:lvlText w:val="%8."/>
      <w:lvlJc w:val="left"/>
      <w:pPr>
        <w:ind w:left="5826" w:hanging="360"/>
      </w:pPr>
    </w:lvl>
    <w:lvl w:ilvl="8" w:tplc="300A001B" w:tentative="1">
      <w:start w:val="1"/>
      <w:numFmt w:val="lowerRoman"/>
      <w:lvlText w:val="%9."/>
      <w:lvlJc w:val="right"/>
      <w:pPr>
        <w:ind w:left="6546" w:hanging="180"/>
      </w:pPr>
    </w:lvl>
  </w:abstractNum>
  <w:abstractNum w:abstractNumId="44" w15:restartNumberingAfterBreak="0">
    <w:nsid w:val="7E0D0D88"/>
    <w:multiLevelType w:val="hybridMultilevel"/>
    <w:tmpl w:val="9268251A"/>
    <w:lvl w:ilvl="0" w:tplc="D3D2C7DC">
      <w:start w:val="1"/>
      <w:numFmt w:val="lowerRoman"/>
      <w:lvlText w:val="%1."/>
      <w:lvlJc w:val="left"/>
      <w:pPr>
        <w:ind w:left="1488" w:hanging="360"/>
      </w:pPr>
      <w:rPr>
        <w:rFonts w:hint="default"/>
      </w:rPr>
    </w:lvl>
    <w:lvl w:ilvl="1" w:tplc="300A0019" w:tentative="1">
      <w:start w:val="1"/>
      <w:numFmt w:val="lowerLetter"/>
      <w:lvlText w:val="%2."/>
      <w:lvlJc w:val="left"/>
      <w:pPr>
        <w:ind w:left="1581" w:hanging="360"/>
      </w:pPr>
    </w:lvl>
    <w:lvl w:ilvl="2" w:tplc="300A001B" w:tentative="1">
      <w:start w:val="1"/>
      <w:numFmt w:val="lowerRoman"/>
      <w:lvlText w:val="%3."/>
      <w:lvlJc w:val="right"/>
      <w:pPr>
        <w:ind w:left="2301" w:hanging="180"/>
      </w:pPr>
    </w:lvl>
    <w:lvl w:ilvl="3" w:tplc="300A000F" w:tentative="1">
      <w:start w:val="1"/>
      <w:numFmt w:val="decimal"/>
      <w:lvlText w:val="%4."/>
      <w:lvlJc w:val="left"/>
      <w:pPr>
        <w:ind w:left="3021" w:hanging="360"/>
      </w:pPr>
    </w:lvl>
    <w:lvl w:ilvl="4" w:tplc="300A0019" w:tentative="1">
      <w:start w:val="1"/>
      <w:numFmt w:val="lowerLetter"/>
      <w:lvlText w:val="%5."/>
      <w:lvlJc w:val="left"/>
      <w:pPr>
        <w:ind w:left="3741" w:hanging="360"/>
      </w:pPr>
    </w:lvl>
    <w:lvl w:ilvl="5" w:tplc="300A001B" w:tentative="1">
      <w:start w:val="1"/>
      <w:numFmt w:val="lowerRoman"/>
      <w:lvlText w:val="%6."/>
      <w:lvlJc w:val="right"/>
      <w:pPr>
        <w:ind w:left="4461" w:hanging="180"/>
      </w:pPr>
    </w:lvl>
    <w:lvl w:ilvl="6" w:tplc="300A000F" w:tentative="1">
      <w:start w:val="1"/>
      <w:numFmt w:val="decimal"/>
      <w:lvlText w:val="%7."/>
      <w:lvlJc w:val="left"/>
      <w:pPr>
        <w:ind w:left="5181" w:hanging="360"/>
      </w:pPr>
    </w:lvl>
    <w:lvl w:ilvl="7" w:tplc="300A0019" w:tentative="1">
      <w:start w:val="1"/>
      <w:numFmt w:val="lowerLetter"/>
      <w:lvlText w:val="%8."/>
      <w:lvlJc w:val="left"/>
      <w:pPr>
        <w:ind w:left="5901" w:hanging="360"/>
      </w:pPr>
    </w:lvl>
    <w:lvl w:ilvl="8" w:tplc="300A001B" w:tentative="1">
      <w:start w:val="1"/>
      <w:numFmt w:val="lowerRoman"/>
      <w:lvlText w:val="%9."/>
      <w:lvlJc w:val="right"/>
      <w:pPr>
        <w:ind w:left="6621" w:hanging="180"/>
      </w:pPr>
    </w:lvl>
  </w:abstractNum>
  <w:abstractNum w:abstractNumId="45" w15:restartNumberingAfterBreak="0">
    <w:nsid w:val="7E235335"/>
    <w:multiLevelType w:val="hybridMultilevel"/>
    <w:tmpl w:val="F2D6989C"/>
    <w:lvl w:ilvl="0" w:tplc="21CACD2A">
      <w:start w:val="1"/>
      <w:numFmt w:val="lowerLetter"/>
      <w:lvlText w:val="%1)"/>
      <w:lvlJc w:val="left"/>
      <w:pPr>
        <w:ind w:left="720" w:hanging="360"/>
      </w:pPr>
      <w:rPr>
        <w:rFonts w:ascii="Arial" w:hAnsi="Arial" w:cs="Arial"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7"/>
  </w:num>
  <w:num w:numId="2">
    <w:abstractNumId w:val="19"/>
  </w:num>
  <w:num w:numId="3">
    <w:abstractNumId w:val="24"/>
  </w:num>
  <w:num w:numId="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6"/>
  </w:num>
  <w:num w:numId="7">
    <w:abstractNumId w:val="0"/>
  </w:num>
  <w:num w:numId="8">
    <w:abstractNumId w:val="44"/>
  </w:num>
  <w:num w:numId="9">
    <w:abstractNumId w:val="16"/>
  </w:num>
  <w:num w:numId="10">
    <w:abstractNumId w:val="29"/>
  </w:num>
  <w:num w:numId="11">
    <w:abstractNumId w:val="26"/>
  </w:num>
  <w:num w:numId="12">
    <w:abstractNumId w:val="40"/>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num>
  <w:num w:numId="15">
    <w:abstractNumId w:val="18"/>
  </w:num>
  <w:num w:numId="16">
    <w:abstractNumId w:val="1"/>
  </w:num>
  <w:num w:numId="17">
    <w:abstractNumId w:val="9"/>
  </w:num>
  <w:num w:numId="18">
    <w:abstractNumId w:val="2"/>
  </w:num>
  <w:num w:numId="19">
    <w:abstractNumId w:val="31"/>
  </w:num>
  <w:num w:numId="20">
    <w:abstractNumId w:val="39"/>
  </w:num>
  <w:num w:numId="21">
    <w:abstractNumId w:val="14"/>
  </w:num>
  <w:num w:numId="22">
    <w:abstractNumId w:val="35"/>
  </w:num>
  <w:num w:numId="23">
    <w:abstractNumId w:val="17"/>
  </w:num>
  <w:num w:numId="24">
    <w:abstractNumId w:val="34"/>
  </w:num>
  <w:num w:numId="25">
    <w:abstractNumId w:val="45"/>
  </w:num>
  <w:num w:numId="26">
    <w:abstractNumId w:val="21"/>
  </w:num>
  <w:num w:numId="27">
    <w:abstractNumId w:val="10"/>
  </w:num>
  <w:num w:numId="28">
    <w:abstractNumId w:val="11"/>
  </w:num>
  <w:num w:numId="29">
    <w:abstractNumId w:val="8"/>
  </w:num>
  <w:num w:numId="30">
    <w:abstractNumId w:val="30"/>
  </w:num>
  <w:num w:numId="31">
    <w:abstractNumId w:val="41"/>
  </w:num>
  <w:num w:numId="32">
    <w:abstractNumId w:val="20"/>
  </w:num>
  <w:num w:numId="33">
    <w:abstractNumId w:val="25"/>
  </w:num>
  <w:num w:numId="34">
    <w:abstractNumId w:val="15"/>
  </w:num>
  <w:num w:numId="35">
    <w:abstractNumId w:val="13"/>
  </w:num>
  <w:num w:numId="36">
    <w:abstractNumId w:val="38"/>
  </w:num>
  <w:num w:numId="37">
    <w:abstractNumId w:val="32"/>
  </w:num>
  <w:num w:numId="38">
    <w:abstractNumId w:val="42"/>
  </w:num>
  <w:num w:numId="39">
    <w:abstractNumId w:val="12"/>
  </w:num>
  <w:num w:numId="40">
    <w:abstractNumId w:val="36"/>
  </w:num>
  <w:num w:numId="41">
    <w:abstractNumId w:val="23"/>
  </w:num>
  <w:num w:numId="42">
    <w:abstractNumId w:val="4"/>
  </w:num>
  <w:num w:numId="43">
    <w:abstractNumId w:val="37"/>
  </w:num>
  <w:num w:numId="44">
    <w:abstractNumId w:val="43"/>
  </w:num>
  <w:num w:numId="45">
    <w:abstractNumId w:val="5"/>
  </w:num>
  <w:num w:numId="46">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DBA"/>
    <w:rsid w:val="000000CC"/>
    <w:rsid w:val="000003C7"/>
    <w:rsid w:val="00000D4D"/>
    <w:rsid w:val="00001276"/>
    <w:rsid w:val="000035BC"/>
    <w:rsid w:val="00004ACE"/>
    <w:rsid w:val="00005DDD"/>
    <w:rsid w:val="00006AE0"/>
    <w:rsid w:val="00006C77"/>
    <w:rsid w:val="00006EAA"/>
    <w:rsid w:val="000075DA"/>
    <w:rsid w:val="00012C4C"/>
    <w:rsid w:val="00014DAB"/>
    <w:rsid w:val="00016158"/>
    <w:rsid w:val="000162E2"/>
    <w:rsid w:val="0002050C"/>
    <w:rsid w:val="00020536"/>
    <w:rsid w:val="00021C84"/>
    <w:rsid w:val="00021F9E"/>
    <w:rsid w:val="00022C86"/>
    <w:rsid w:val="00024070"/>
    <w:rsid w:val="00025001"/>
    <w:rsid w:val="000254A5"/>
    <w:rsid w:val="000274A1"/>
    <w:rsid w:val="00030368"/>
    <w:rsid w:val="00030848"/>
    <w:rsid w:val="00034AEF"/>
    <w:rsid w:val="000352F6"/>
    <w:rsid w:val="00036AD7"/>
    <w:rsid w:val="00036AEB"/>
    <w:rsid w:val="00036E91"/>
    <w:rsid w:val="000406E0"/>
    <w:rsid w:val="00040712"/>
    <w:rsid w:val="00044E10"/>
    <w:rsid w:val="00044E34"/>
    <w:rsid w:val="000454BB"/>
    <w:rsid w:val="0004591A"/>
    <w:rsid w:val="00047BB2"/>
    <w:rsid w:val="00050944"/>
    <w:rsid w:val="0005257E"/>
    <w:rsid w:val="00053F80"/>
    <w:rsid w:val="0005782B"/>
    <w:rsid w:val="0006012A"/>
    <w:rsid w:val="00060669"/>
    <w:rsid w:val="000616D6"/>
    <w:rsid w:val="000617CA"/>
    <w:rsid w:val="00066078"/>
    <w:rsid w:val="00070F0B"/>
    <w:rsid w:val="00071971"/>
    <w:rsid w:val="00071ED6"/>
    <w:rsid w:val="00073816"/>
    <w:rsid w:val="00073DF7"/>
    <w:rsid w:val="00075CA7"/>
    <w:rsid w:val="00077987"/>
    <w:rsid w:val="000814A0"/>
    <w:rsid w:val="00081F0B"/>
    <w:rsid w:val="000831B3"/>
    <w:rsid w:val="00083CDE"/>
    <w:rsid w:val="000846EA"/>
    <w:rsid w:val="00085D08"/>
    <w:rsid w:val="00090A28"/>
    <w:rsid w:val="00090C9E"/>
    <w:rsid w:val="00093489"/>
    <w:rsid w:val="00093B2A"/>
    <w:rsid w:val="00093BC2"/>
    <w:rsid w:val="00093F1A"/>
    <w:rsid w:val="0009536C"/>
    <w:rsid w:val="00095989"/>
    <w:rsid w:val="00095F2C"/>
    <w:rsid w:val="00096C46"/>
    <w:rsid w:val="000A0A64"/>
    <w:rsid w:val="000A0EE7"/>
    <w:rsid w:val="000A1E52"/>
    <w:rsid w:val="000A1F74"/>
    <w:rsid w:val="000A2C03"/>
    <w:rsid w:val="000A50FA"/>
    <w:rsid w:val="000A786F"/>
    <w:rsid w:val="000A7CEE"/>
    <w:rsid w:val="000B0BA6"/>
    <w:rsid w:val="000B5A2B"/>
    <w:rsid w:val="000B691A"/>
    <w:rsid w:val="000B6E42"/>
    <w:rsid w:val="000B77CD"/>
    <w:rsid w:val="000B78CC"/>
    <w:rsid w:val="000C184A"/>
    <w:rsid w:val="000C2A73"/>
    <w:rsid w:val="000C3B84"/>
    <w:rsid w:val="000D0652"/>
    <w:rsid w:val="000D0A4D"/>
    <w:rsid w:val="000D1A16"/>
    <w:rsid w:val="000D2CCA"/>
    <w:rsid w:val="000D2EDE"/>
    <w:rsid w:val="000D5CE5"/>
    <w:rsid w:val="000E02CB"/>
    <w:rsid w:val="000E08FA"/>
    <w:rsid w:val="000E0D5C"/>
    <w:rsid w:val="000E1D9E"/>
    <w:rsid w:val="000E248D"/>
    <w:rsid w:val="000E702F"/>
    <w:rsid w:val="000E724D"/>
    <w:rsid w:val="000F0831"/>
    <w:rsid w:val="000F3133"/>
    <w:rsid w:val="000F4933"/>
    <w:rsid w:val="000F6D78"/>
    <w:rsid w:val="00102D73"/>
    <w:rsid w:val="00103C71"/>
    <w:rsid w:val="00104637"/>
    <w:rsid w:val="00106406"/>
    <w:rsid w:val="0010670B"/>
    <w:rsid w:val="001073EF"/>
    <w:rsid w:val="00107750"/>
    <w:rsid w:val="00107A6D"/>
    <w:rsid w:val="00110625"/>
    <w:rsid w:val="00111C38"/>
    <w:rsid w:val="001145AA"/>
    <w:rsid w:val="001148B9"/>
    <w:rsid w:val="00114A96"/>
    <w:rsid w:val="00116453"/>
    <w:rsid w:val="001167A4"/>
    <w:rsid w:val="00116F79"/>
    <w:rsid w:val="00120BD7"/>
    <w:rsid w:val="00122473"/>
    <w:rsid w:val="00124A14"/>
    <w:rsid w:val="00126CB1"/>
    <w:rsid w:val="00127B18"/>
    <w:rsid w:val="0013248B"/>
    <w:rsid w:val="001348BE"/>
    <w:rsid w:val="00136CAF"/>
    <w:rsid w:val="00141A69"/>
    <w:rsid w:val="00142A07"/>
    <w:rsid w:val="00143517"/>
    <w:rsid w:val="00144245"/>
    <w:rsid w:val="0014478D"/>
    <w:rsid w:val="00144803"/>
    <w:rsid w:val="00145872"/>
    <w:rsid w:val="001505E7"/>
    <w:rsid w:val="00153CBE"/>
    <w:rsid w:val="0015558F"/>
    <w:rsid w:val="00156B67"/>
    <w:rsid w:val="00160776"/>
    <w:rsid w:val="00160DAC"/>
    <w:rsid w:val="001613BE"/>
    <w:rsid w:val="00161D0E"/>
    <w:rsid w:val="001629E1"/>
    <w:rsid w:val="00164FB0"/>
    <w:rsid w:val="00165757"/>
    <w:rsid w:val="00165AD2"/>
    <w:rsid w:val="00167EC8"/>
    <w:rsid w:val="00170015"/>
    <w:rsid w:val="0017065C"/>
    <w:rsid w:val="001758A1"/>
    <w:rsid w:val="001761CF"/>
    <w:rsid w:val="00176ACB"/>
    <w:rsid w:val="001774BF"/>
    <w:rsid w:val="00180935"/>
    <w:rsid w:val="00181F72"/>
    <w:rsid w:val="00186572"/>
    <w:rsid w:val="00186A6A"/>
    <w:rsid w:val="00192127"/>
    <w:rsid w:val="00192412"/>
    <w:rsid w:val="00194620"/>
    <w:rsid w:val="0019568B"/>
    <w:rsid w:val="00197F2A"/>
    <w:rsid w:val="001A279B"/>
    <w:rsid w:val="001A3DA4"/>
    <w:rsid w:val="001B0650"/>
    <w:rsid w:val="001B0DED"/>
    <w:rsid w:val="001B2335"/>
    <w:rsid w:val="001B2841"/>
    <w:rsid w:val="001B3EF7"/>
    <w:rsid w:val="001B4BF5"/>
    <w:rsid w:val="001B528B"/>
    <w:rsid w:val="001B5D3B"/>
    <w:rsid w:val="001B68C1"/>
    <w:rsid w:val="001B720E"/>
    <w:rsid w:val="001C0567"/>
    <w:rsid w:val="001C0782"/>
    <w:rsid w:val="001C1415"/>
    <w:rsid w:val="001C1CC2"/>
    <w:rsid w:val="001C2857"/>
    <w:rsid w:val="001C3C27"/>
    <w:rsid w:val="001C4A3F"/>
    <w:rsid w:val="001C5920"/>
    <w:rsid w:val="001C6E31"/>
    <w:rsid w:val="001D04F7"/>
    <w:rsid w:val="001D1605"/>
    <w:rsid w:val="001D1EF7"/>
    <w:rsid w:val="001D2BF3"/>
    <w:rsid w:val="001D3503"/>
    <w:rsid w:val="001D663D"/>
    <w:rsid w:val="001E260D"/>
    <w:rsid w:val="001E309E"/>
    <w:rsid w:val="001E4299"/>
    <w:rsid w:val="001E4BF7"/>
    <w:rsid w:val="001E7BBD"/>
    <w:rsid w:val="001F07DF"/>
    <w:rsid w:val="001F60AB"/>
    <w:rsid w:val="001F7295"/>
    <w:rsid w:val="001F7867"/>
    <w:rsid w:val="00200BAD"/>
    <w:rsid w:val="00204C83"/>
    <w:rsid w:val="00204F2A"/>
    <w:rsid w:val="00206084"/>
    <w:rsid w:val="00207647"/>
    <w:rsid w:val="002115B6"/>
    <w:rsid w:val="002134D1"/>
    <w:rsid w:val="002161CC"/>
    <w:rsid w:val="0021648E"/>
    <w:rsid w:val="002170F4"/>
    <w:rsid w:val="00217218"/>
    <w:rsid w:val="0021766B"/>
    <w:rsid w:val="00217679"/>
    <w:rsid w:val="00217790"/>
    <w:rsid w:val="002177DF"/>
    <w:rsid w:val="002208DB"/>
    <w:rsid w:val="00221A45"/>
    <w:rsid w:val="00222AF2"/>
    <w:rsid w:val="002235B8"/>
    <w:rsid w:val="00225989"/>
    <w:rsid w:val="00225B29"/>
    <w:rsid w:val="00226375"/>
    <w:rsid w:val="00230E75"/>
    <w:rsid w:val="002318A9"/>
    <w:rsid w:val="00233A31"/>
    <w:rsid w:val="00233D9D"/>
    <w:rsid w:val="00233F64"/>
    <w:rsid w:val="00237D3E"/>
    <w:rsid w:val="00237F78"/>
    <w:rsid w:val="00241F2D"/>
    <w:rsid w:val="00242DD3"/>
    <w:rsid w:val="0024452D"/>
    <w:rsid w:val="002449F0"/>
    <w:rsid w:val="00252AE2"/>
    <w:rsid w:val="00253967"/>
    <w:rsid w:val="00255DD2"/>
    <w:rsid w:val="0026266B"/>
    <w:rsid w:val="00264190"/>
    <w:rsid w:val="002648EE"/>
    <w:rsid w:val="00264B42"/>
    <w:rsid w:val="002658CC"/>
    <w:rsid w:val="00265F74"/>
    <w:rsid w:val="00266704"/>
    <w:rsid w:val="00266CC3"/>
    <w:rsid w:val="0026730C"/>
    <w:rsid w:val="002705C1"/>
    <w:rsid w:val="00270620"/>
    <w:rsid w:val="002715CC"/>
    <w:rsid w:val="00271A43"/>
    <w:rsid w:val="002743B1"/>
    <w:rsid w:val="00274A4A"/>
    <w:rsid w:val="002754D4"/>
    <w:rsid w:val="002758F6"/>
    <w:rsid w:val="00275A3B"/>
    <w:rsid w:val="00275ADD"/>
    <w:rsid w:val="00282210"/>
    <w:rsid w:val="00283FBB"/>
    <w:rsid w:val="0028509C"/>
    <w:rsid w:val="002857A4"/>
    <w:rsid w:val="002875A1"/>
    <w:rsid w:val="0029049C"/>
    <w:rsid w:val="00292127"/>
    <w:rsid w:val="002948BA"/>
    <w:rsid w:val="00297A39"/>
    <w:rsid w:val="002A6631"/>
    <w:rsid w:val="002A74A8"/>
    <w:rsid w:val="002B1398"/>
    <w:rsid w:val="002B227F"/>
    <w:rsid w:val="002B2EF0"/>
    <w:rsid w:val="002B4B41"/>
    <w:rsid w:val="002B6E26"/>
    <w:rsid w:val="002B6F71"/>
    <w:rsid w:val="002B7BC7"/>
    <w:rsid w:val="002C00DA"/>
    <w:rsid w:val="002C169D"/>
    <w:rsid w:val="002C1BE0"/>
    <w:rsid w:val="002C1F89"/>
    <w:rsid w:val="002C22DE"/>
    <w:rsid w:val="002D140F"/>
    <w:rsid w:val="002D3033"/>
    <w:rsid w:val="002D37E1"/>
    <w:rsid w:val="002E284F"/>
    <w:rsid w:val="002E3819"/>
    <w:rsid w:val="002E4081"/>
    <w:rsid w:val="002E5235"/>
    <w:rsid w:val="002E6701"/>
    <w:rsid w:val="002E6DAC"/>
    <w:rsid w:val="002F073B"/>
    <w:rsid w:val="002F30DD"/>
    <w:rsid w:val="002F3A2A"/>
    <w:rsid w:val="002F4AEA"/>
    <w:rsid w:val="002F52FC"/>
    <w:rsid w:val="00300DCB"/>
    <w:rsid w:val="0030106A"/>
    <w:rsid w:val="00302522"/>
    <w:rsid w:val="00302962"/>
    <w:rsid w:val="00304025"/>
    <w:rsid w:val="00304785"/>
    <w:rsid w:val="0030660F"/>
    <w:rsid w:val="0031060C"/>
    <w:rsid w:val="00311367"/>
    <w:rsid w:val="00311476"/>
    <w:rsid w:val="003114A7"/>
    <w:rsid w:val="00313010"/>
    <w:rsid w:val="00313B8C"/>
    <w:rsid w:val="00316940"/>
    <w:rsid w:val="00317D30"/>
    <w:rsid w:val="00320E6D"/>
    <w:rsid w:val="003224D6"/>
    <w:rsid w:val="003310D7"/>
    <w:rsid w:val="003317F6"/>
    <w:rsid w:val="00332737"/>
    <w:rsid w:val="00335C16"/>
    <w:rsid w:val="00336C90"/>
    <w:rsid w:val="00341B6A"/>
    <w:rsid w:val="003431E9"/>
    <w:rsid w:val="00346833"/>
    <w:rsid w:val="00346A0C"/>
    <w:rsid w:val="00347793"/>
    <w:rsid w:val="003505E2"/>
    <w:rsid w:val="00350C53"/>
    <w:rsid w:val="00351216"/>
    <w:rsid w:val="00351D88"/>
    <w:rsid w:val="0035247E"/>
    <w:rsid w:val="00352F50"/>
    <w:rsid w:val="00353ED8"/>
    <w:rsid w:val="0035486A"/>
    <w:rsid w:val="00354A69"/>
    <w:rsid w:val="003556F8"/>
    <w:rsid w:val="00357675"/>
    <w:rsid w:val="003579CA"/>
    <w:rsid w:val="00361BC3"/>
    <w:rsid w:val="00361FD9"/>
    <w:rsid w:val="00362772"/>
    <w:rsid w:val="00365FE5"/>
    <w:rsid w:val="0037056A"/>
    <w:rsid w:val="003713F4"/>
    <w:rsid w:val="003733B1"/>
    <w:rsid w:val="00374DA6"/>
    <w:rsid w:val="0037508B"/>
    <w:rsid w:val="0037750F"/>
    <w:rsid w:val="0038184F"/>
    <w:rsid w:val="0038389B"/>
    <w:rsid w:val="0038785E"/>
    <w:rsid w:val="00387A0F"/>
    <w:rsid w:val="00390E2D"/>
    <w:rsid w:val="00391E6A"/>
    <w:rsid w:val="0039269B"/>
    <w:rsid w:val="003933DE"/>
    <w:rsid w:val="00394CBA"/>
    <w:rsid w:val="0039501F"/>
    <w:rsid w:val="00395DBA"/>
    <w:rsid w:val="00396161"/>
    <w:rsid w:val="00396D0D"/>
    <w:rsid w:val="00396D86"/>
    <w:rsid w:val="00396DB0"/>
    <w:rsid w:val="00397AEF"/>
    <w:rsid w:val="003A13D7"/>
    <w:rsid w:val="003A289E"/>
    <w:rsid w:val="003A39B7"/>
    <w:rsid w:val="003A4067"/>
    <w:rsid w:val="003A6744"/>
    <w:rsid w:val="003B0CE7"/>
    <w:rsid w:val="003B1F10"/>
    <w:rsid w:val="003B2230"/>
    <w:rsid w:val="003B3AE3"/>
    <w:rsid w:val="003B493D"/>
    <w:rsid w:val="003B5F46"/>
    <w:rsid w:val="003B61E6"/>
    <w:rsid w:val="003C0C42"/>
    <w:rsid w:val="003C1308"/>
    <w:rsid w:val="003C1719"/>
    <w:rsid w:val="003C2BD0"/>
    <w:rsid w:val="003C6009"/>
    <w:rsid w:val="003C6990"/>
    <w:rsid w:val="003C72EE"/>
    <w:rsid w:val="003C74B9"/>
    <w:rsid w:val="003D29EF"/>
    <w:rsid w:val="003D2DF3"/>
    <w:rsid w:val="003D5321"/>
    <w:rsid w:val="003D6B24"/>
    <w:rsid w:val="003D6D96"/>
    <w:rsid w:val="003E0812"/>
    <w:rsid w:val="003E280F"/>
    <w:rsid w:val="003E3043"/>
    <w:rsid w:val="003E3491"/>
    <w:rsid w:val="003E39F9"/>
    <w:rsid w:val="003E4F2F"/>
    <w:rsid w:val="003E538E"/>
    <w:rsid w:val="003F0738"/>
    <w:rsid w:val="003F0C8D"/>
    <w:rsid w:val="003F4431"/>
    <w:rsid w:val="003F6723"/>
    <w:rsid w:val="003F67BB"/>
    <w:rsid w:val="003F6994"/>
    <w:rsid w:val="0040148A"/>
    <w:rsid w:val="00402879"/>
    <w:rsid w:val="00403669"/>
    <w:rsid w:val="004067AC"/>
    <w:rsid w:val="00407134"/>
    <w:rsid w:val="00407D9C"/>
    <w:rsid w:val="00411944"/>
    <w:rsid w:val="00412C0F"/>
    <w:rsid w:val="00413438"/>
    <w:rsid w:val="004139A7"/>
    <w:rsid w:val="00413EE5"/>
    <w:rsid w:val="00413F2D"/>
    <w:rsid w:val="00416863"/>
    <w:rsid w:val="00421406"/>
    <w:rsid w:val="00421CCE"/>
    <w:rsid w:val="00421E95"/>
    <w:rsid w:val="0042600B"/>
    <w:rsid w:val="00426E05"/>
    <w:rsid w:val="00426EB7"/>
    <w:rsid w:val="00432E9C"/>
    <w:rsid w:val="00433391"/>
    <w:rsid w:val="00434A14"/>
    <w:rsid w:val="004351F4"/>
    <w:rsid w:val="00435D6E"/>
    <w:rsid w:val="004367B7"/>
    <w:rsid w:val="0043747D"/>
    <w:rsid w:val="00440BBA"/>
    <w:rsid w:val="0044237D"/>
    <w:rsid w:val="004430F5"/>
    <w:rsid w:val="004443EE"/>
    <w:rsid w:val="0044716F"/>
    <w:rsid w:val="0044792A"/>
    <w:rsid w:val="00452229"/>
    <w:rsid w:val="004557C6"/>
    <w:rsid w:val="004569DF"/>
    <w:rsid w:val="00460544"/>
    <w:rsid w:val="00461129"/>
    <w:rsid w:val="004651D8"/>
    <w:rsid w:val="00466373"/>
    <w:rsid w:val="00466C66"/>
    <w:rsid w:val="00467AAA"/>
    <w:rsid w:val="00470D05"/>
    <w:rsid w:val="0047131D"/>
    <w:rsid w:val="00472F51"/>
    <w:rsid w:val="00473F60"/>
    <w:rsid w:val="0047472E"/>
    <w:rsid w:val="004747DA"/>
    <w:rsid w:val="0047506A"/>
    <w:rsid w:val="0048033A"/>
    <w:rsid w:val="004815F8"/>
    <w:rsid w:val="00481713"/>
    <w:rsid w:val="00482E8C"/>
    <w:rsid w:val="00484213"/>
    <w:rsid w:val="00486624"/>
    <w:rsid w:val="00487367"/>
    <w:rsid w:val="00487BA1"/>
    <w:rsid w:val="00487D1D"/>
    <w:rsid w:val="00490392"/>
    <w:rsid w:val="004937B0"/>
    <w:rsid w:val="0049426A"/>
    <w:rsid w:val="0049521E"/>
    <w:rsid w:val="0049539D"/>
    <w:rsid w:val="004963F9"/>
    <w:rsid w:val="004A30EF"/>
    <w:rsid w:val="004A5B00"/>
    <w:rsid w:val="004A61A5"/>
    <w:rsid w:val="004A6B89"/>
    <w:rsid w:val="004A7613"/>
    <w:rsid w:val="004B16D0"/>
    <w:rsid w:val="004B46F9"/>
    <w:rsid w:val="004B504D"/>
    <w:rsid w:val="004B6FBF"/>
    <w:rsid w:val="004B733F"/>
    <w:rsid w:val="004C393B"/>
    <w:rsid w:val="004C3971"/>
    <w:rsid w:val="004C5BDC"/>
    <w:rsid w:val="004C5C18"/>
    <w:rsid w:val="004C7262"/>
    <w:rsid w:val="004D0486"/>
    <w:rsid w:val="004D0BC1"/>
    <w:rsid w:val="004D0E59"/>
    <w:rsid w:val="004D10BA"/>
    <w:rsid w:val="004D1240"/>
    <w:rsid w:val="004D25F7"/>
    <w:rsid w:val="004D2C37"/>
    <w:rsid w:val="004D489D"/>
    <w:rsid w:val="004D5657"/>
    <w:rsid w:val="004D58F9"/>
    <w:rsid w:val="004E1DE7"/>
    <w:rsid w:val="004E2C72"/>
    <w:rsid w:val="004E2E1C"/>
    <w:rsid w:val="004E433D"/>
    <w:rsid w:val="004E5C88"/>
    <w:rsid w:val="004E62C4"/>
    <w:rsid w:val="004F245F"/>
    <w:rsid w:val="004F593A"/>
    <w:rsid w:val="00501907"/>
    <w:rsid w:val="00501CE7"/>
    <w:rsid w:val="00505236"/>
    <w:rsid w:val="0050639D"/>
    <w:rsid w:val="0051018B"/>
    <w:rsid w:val="005110AA"/>
    <w:rsid w:val="00511D26"/>
    <w:rsid w:val="00512FC7"/>
    <w:rsid w:val="005136A2"/>
    <w:rsid w:val="00514618"/>
    <w:rsid w:val="005163F9"/>
    <w:rsid w:val="00516B8B"/>
    <w:rsid w:val="00516FBD"/>
    <w:rsid w:val="005218D0"/>
    <w:rsid w:val="00521D19"/>
    <w:rsid w:val="00522611"/>
    <w:rsid w:val="0052363F"/>
    <w:rsid w:val="00524299"/>
    <w:rsid w:val="00524557"/>
    <w:rsid w:val="0052756A"/>
    <w:rsid w:val="005276A6"/>
    <w:rsid w:val="00530741"/>
    <w:rsid w:val="005344A6"/>
    <w:rsid w:val="00535C63"/>
    <w:rsid w:val="00537BDF"/>
    <w:rsid w:val="0054091F"/>
    <w:rsid w:val="00541A23"/>
    <w:rsid w:val="00541F1F"/>
    <w:rsid w:val="00542B3E"/>
    <w:rsid w:val="005447F5"/>
    <w:rsid w:val="00546838"/>
    <w:rsid w:val="00550431"/>
    <w:rsid w:val="00551FFE"/>
    <w:rsid w:val="00554638"/>
    <w:rsid w:val="00554E4F"/>
    <w:rsid w:val="005550AE"/>
    <w:rsid w:val="00555557"/>
    <w:rsid w:val="005559D1"/>
    <w:rsid w:val="00556189"/>
    <w:rsid w:val="00556BFA"/>
    <w:rsid w:val="0055769E"/>
    <w:rsid w:val="00557D58"/>
    <w:rsid w:val="0056078C"/>
    <w:rsid w:val="005608B3"/>
    <w:rsid w:val="00561162"/>
    <w:rsid w:val="0056243A"/>
    <w:rsid w:val="0056256E"/>
    <w:rsid w:val="00564245"/>
    <w:rsid w:val="00565AF0"/>
    <w:rsid w:val="00565CD3"/>
    <w:rsid w:val="005671E5"/>
    <w:rsid w:val="005671EC"/>
    <w:rsid w:val="005709B7"/>
    <w:rsid w:val="005710BE"/>
    <w:rsid w:val="0057169A"/>
    <w:rsid w:val="0057191B"/>
    <w:rsid w:val="00572359"/>
    <w:rsid w:val="00572D03"/>
    <w:rsid w:val="005745C0"/>
    <w:rsid w:val="005804D2"/>
    <w:rsid w:val="00581503"/>
    <w:rsid w:val="00583FE2"/>
    <w:rsid w:val="005844D4"/>
    <w:rsid w:val="00587CFA"/>
    <w:rsid w:val="0059010E"/>
    <w:rsid w:val="005920AA"/>
    <w:rsid w:val="0059247D"/>
    <w:rsid w:val="005945D8"/>
    <w:rsid w:val="00594D25"/>
    <w:rsid w:val="005953F1"/>
    <w:rsid w:val="005A026F"/>
    <w:rsid w:val="005A37FF"/>
    <w:rsid w:val="005A48B8"/>
    <w:rsid w:val="005A5F08"/>
    <w:rsid w:val="005B12F3"/>
    <w:rsid w:val="005B29DE"/>
    <w:rsid w:val="005B2A5F"/>
    <w:rsid w:val="005B5196"/>
    <w:rsid w:val="005B6245"/>
    <w:rsid w:val="005B668C"/>
    <w:rsid w:val="005B6A37"/>
    <w:rsid w:val="005C58F0"/>
    <w:rsid w:val="005D1349"/>
    <w:rsid w:val="005D4FAC"/>
    <w:rsid w:val="005D7121"/>
    <w:rsid w:val="005E5811"/>
    <w:rsid w:val="005E7326"/>
    <w:rsid w:val="005E7BD6"/>
    <w:rsid w:val="005F61FD"/>
    <w:rsid w:val="005F7678"/>
    <w:rsid w:val="00600276"/>
    <w:rsid w:val="00602A7B"/>
    <w:rsid w:val="00602F66"/>
    <w:rsid w:val="00603974"/>
    <w:rsid w:val="00604F36"/>
    <w:rsid w:val="00605205"/>
    <w:rsid w:val="00605DC5"/>
    <w:rsid w:val="006060CA"/>
    <w:rsid w:val="00606774"/>
    <w:rsid w:val="00607FF3"/>
    <w:rsid w:val="00610016"/>
    <w:rsid w:val="00610A5F"/>
    <w:rsid w:val="006119FD"/>
    <w:rsid w:val="006129E2"/>
    <w:rsid w:val="00612EA2"/>
    <w:rsid w:val="006139BF"/>
    <w:rsid w:val="00614CD6"/>
    <w:rsid w:val="006151FD"/>
    <w:rsid w:val="00615350"/>
    <w:rsid w:val="00617656"/>
    <w:rsid w:val="00617BDD"/>
    <w:rsid w:val="0062202C"/>
    <w:rsid w:val="006230E3"/>
    <w:rsid w:val="00624319"/>
    <w:rsid w:val="00630B43"/>
    <w:rsid w:val="0063558F"/>
    <w:rsid w:val="0063609D"/>
    <w:rsid w:val="00636369"/>
    <w:rsid w:val="006421C0"/>
    <w:rsid w:val="00644F4E"/>
    <w:rsid w:val="006465BD"/>
    <w:rsid w:val="00646ECF"/>
    <w:rsid w:val="00651D7E"/>
    <w:rsid w:val="006525FC"/>
    <w:rsid w:val="00652ED0"/>
    <w:rsid w:val="006538E9"/>
    <w:rsid w:val="00654AA1"/>
    <w:rsid w:val="00656084"/>
    <w:rsid w:val="006564B1"/>
    <w:rsid w:val="00657644"/>
    <w:rsid w:val="006613B9"/>
    <w:rsid w:val="00661A4E"/>
    <w:rsid w:val="00663200"/>
    <w:rsid w:val="00663CC8"/>
    <w:rsid w:val="00665C39"/>
    <w:rsid w:val="006666B5"/>
    <w:rsid w:val="0066786B"/>
    <w:rsid w:val="0067066D"/>
    <w:rsid w:val="00670E83"/>
    <w:rsid w:val="00671CC2"/>
    <w:rsid w:val="00673CF6"/>
    <w:rsid w:val="00674859"/>
    <w:rsid w:val="006809EB"/>
    <w:rsid w:val="00682C2C"/>
    <w:rsid w:val="00682F81"/>
    <w:rsid w:val="006843EB"/>
    <w:rsid w:val="006921A2"/>
    <w:rsid w:val="0069459C"/>
    <w:rsid w:val="00695590"/>
    <w:rsid w:val="006A1CBC"/>
    <w:rsid w:val="006A575B"/>
    <w:rsid w:val="006A669A"/>
    <w:rsid w:val="006A680D"/>
    <w:rsid w:val="006A6894"/>
    <w:rsid w:val="006A70B5"/>
    <w:rsid w:val="006A725C"/>
    <w:rsid w:val="006A7B64"/>
    <w:rsid w:val="006B174C"/>
    <w:rsid w:val="006B2203"/>
    <w:rsid w:val="006B3ADD"/>
    <w:rsid w:val="006B48CB"/>
    <w:rsid w:val="006B4DE7"/>
    <w:rsid w:val="006B632D"/>
    <w:rsid w:val="006C08B9"/>
    <w:rsid w:val="006C15E7"/>
    <w:rsid w:val="006C202B"/>
    <w:rsid w:val="006C2B78"/>
    <w:rsid w:val="006C3843"/>
    <w:rsid w:val="006D0DA6"/>
    <w:rsid w:val="006D0DC7"/>
    <w:rsid w:val="006D12AE"/>
    <w:rsid w:val="006D1876"/>
    <w:rsid w:val="006D45BC"/>
    <w:rsid w:val="006D4B34"/>
    <w:rsid w:val="006D7859"/>
    <w:rsid w:val="006E2AD0"/>
    <w:rsid w:val="006E44E0"/>
    <w:rsid w:val="006E5691"/>
    <w:rsid w:val="006E6D0D"/>
    <w:rsid w:val="006E710E"/>
    <w:rsid w:val="006E771E"/>
    <w:rsid w:val="006F0854"/>
    <w:rsid w:val="006F6E87"/>
    <w:rsid w:val="006F7936"/>
    <w:rsid w:val="006F7C09"/>
    <w:rsid w:val="00700CAD"/>
    <w:rsid w:val="00702B70"/>
    <w:rsid w:val="00703A9B"/>
    <w:rsid w:val="00703AD7"/>
    <w:rsid w:val="00703DD4"/>
    <w:rsid w:val="00704A32"/>
    <w:rsid w:val="00704EDA"/>
    <w:rsid w:val="0070729F"/>
    <w:rsid w:val="00707C88"/>
    <w:rsid w:val="00710E2D"/>
    <w:rsid w:val="007110B8"/>
    <w:rsid w:val="0071160E"/>
    <w:rsid w:val="00712E8D"/>
    <w:rsid w:val="007135B5"/>
    <w:rsid w:val="007141AF"/>
    <w:rsid w:val="00720705"/>
    <w:rsid w:val="00721A48"/>
    <w:rsid w:val="00732E96"/>
    <w:rsid w:val="0073388E"/>
    <w:rsid w:val="007344B4"/>
    <w:rsid w:val="00734FCC"/>
    <w:rsid w:val="00736660"/>
    <w:rsid w:val="00741803"/>
    <w:rsid w:val="00741BD9"/>
    <w:rsid w:val="0074469F"/>
    <w:rsid w:val="007451D7"/>
    <w:rsid w:val="00746D5B"/>
    <w:rsid w:val="00750660"/>
    <w:rsid w:val="00750EB2"/>
    <w:rsid w:val="007543DA"/>
    <w:rsid w:val="00754593"/>
    <w:rsid w:val="00756244"/>
    <w:rsid w:val="00757C41"/>
    <w:rsid w:val="00757ECD"/>
    <w:rsid w:val="00760E55"/>
    <w:rsid w:val="00761B13"/>
    <w:rsid w:val="007645E9"/>
    <w:rsid w:val="007649D2"/>
    <w:rsid w:val="00764B07"/>
    <w:rsid w:val="00765E68"/>
    <w:rsid w:val="00771085"/>
    <w:rsid w:val="00773EA2"/>
    <w:rsid w:val="00773F2E"/>
    <w:rsid w:val="0077470F"/>
    <w:rsid w:val="007750AF"/>
    <w:rsid w:val="00776B07"/>
    <w:rsid w:val="00781E5B"/>
    <w:rsid w:val="00786E12"/>
    <w:rsid w:val="007873DA"/>
    <w:rsid w:val="00790898"/>
    <w:rsid w:val="007909AA"/>
    <w:rsid w:val="00790ABE"/>
    <w:rsid w:val="00792C88"/>
    <w:rsid w:val="007939BE"/>
    <w:rsid w:val="00794300"/>
    <w:rsid w:val="0079730F"/>
    <w:rsid w:val="007A14C7"/>
    <w:rsid w:val="007A2F67"/>
    <w:rsid w:val="007A3C4F"/>
    <w:rsid w:val="007A50C1"/>
    <w:rsid w:val="007A65BF"/>
    <w:rsid w:val="007A7140"/>
    <w:rsid w:val="007A7CB2"/>
    <w:rsid w:val="007B0E5E"/>
    <w:rsid w:val="007B19C3"/>
    <w:rsid w:val="007B3CF7"/>
    <w:rsid w:val="007B499B"/>
    <w:rsid w:val="007C21B2"/>
    <w:rsid w:val="007C362C"/>
    <w:rsid w:val="007C4372"/>
    <w:rsid w:val="007C608C"/>
    <w:rsid w:val="007C6C6A"/>
    <w:rsid w:val="007D0F87"/>
    <w:rsid w:val="007D0F8C"/>
    <w:rsid w:val="007D2118"/>
    <w:rsid w:val="007D413B"/>
    <w:rsid w:val="007E0F0A"/>
    <w:rsid w:val="007E3A75"/>
    <w:rsid w:val="007E4460"/>
    <w:rsid w:val="007E5D49"/>
    <w:rsid w:val="007E6DBB"/>
    <w:rsid w:val="007E743E"/>
    <w:rsid w:val="007E74A5"/>
    <w:rsid w:val="007E7B76"/>
    <w:rsid w:val="007E7E7A"/>
    <w:rsid w:val="007F15EF"/>
    <w:rsid w:val="007F178D"/>
    <w:rsid w:val="007F1C06"/>
    <w:rsid w:val="007F2D37"/>
    <w:rsid w:val="007F4839"/>
    <w:rsid w:val="007F4C11"/>
    <w:rsid w:val="007F4E70"/>
    <w:rsid w:val="007F7FA5"/>
    <w:rsid w:val="00800F91"/>
    <w:rsid w:val="0080267E"/>
    <w:rsid w:val="00804DB4"/>
    <w:rsid w:val="008051A6"/>
    <w:rsid w:val="008055EE"/>
    <w:rsid w:val="008128EC"/>
    <w:rsid w:val="00814DAA"/>
    <w:rsid w:val="00815B0F"/>
    <w:rsid w:val="00816DB3"/>
    <w:rsid w:val="00816FDD"/>
    <w:rsid w:val="00817A8C"/>
    <w:rsid w:val="00817F10"/>
    <w:rsid w:val="00823E09"/>
    <w:rsid w:val="0082470C"/>
    <w:rsid w:val="00824A28"/>
    <w:rsid w:val="0082549D"/>
    <w:rsid w:val="00825883"/>
    <w:rsid w:val="008263AA"/>
    <w:rsid w:val="00827538"/>
    <w:rsid w:val="00832F01"/>
    <w:rsid w:val="008350D1"/>
    <w:rsid w:val="008369B5"/>
    <w:rsid w:val="00837E09"/>
    <w:rsid w:val="0084037C"/>
    <w:rsid w:val="00840F13"/>
    <w:rsid w:val="00841DE1"/>
    <w:rsid w:val="00842033"/>
    <w:rsid w:val="00842490"/>
    <w:rsid w:val="00842FA0"/>
    <w:rsid w:val="0084378C"/>
    <w:rsid w:val="00844B74"/>
    <w:rsid w:val="008460D4"/>
    <w:rsid w:val="00846A12"/>
    <w:rsid w:val="008505D4"/>
    <w:rsid w:val="00851FDF"/>
    <w:rsid w:val="00852873"/>
    <w:rsid w:val="00854AD9"/>
    <w:rsid w:val="008555DC"/>
    <w:rsid w:val="00855C78"/>
    <w:rsid w:val="00856C03"/>
    <w:rsid w:val="00856C4A"/>
    <w:rsid w:val="00857858"/>
    <w:rsid w:val="00857AE5"/>
    <w:rsid w:val="0086120D"/>
    <w:rsid w:val="00863822"/>
    <w:rsid w:val="00867042"/>
    <w:rsid w:val="0087107C"/>
    <w:rsid w:val="0087407F"/>
    <w:rsid w:val="0087423B"/>
    <w:rsid w:val="00874295"/>
    <w:rsid w:val="00875860"/>
    <w:rsid w:val="00882001"/>
    <w:rsid w:val="00882767"/>
    <w:rsid w:val="00883912"/>
    <w:rsid w:val="00883F65"/>
    <w:rsid w:val="00886FC9"/>
    <w:rsid w:val="00891493"/>
    <w:rsid w:val="00891889"/>
    <w:rsid w:val="00891EA8"/>
    <w:rsid w:val="008921E0"/>
    <w:rsid w:val="00892EBC"/>
    <w:rsid w:val="00893040"/>
    <w:rsid w:val="00893E0B"/>
    <w:rsid w:val="00893FAE"/>
    <w:rsid w:val="00895D3A"/>
    <w:rsid w:val="00896EEB"/>
    <w:rsid w:val="008A2D30"/>
    <w:rsid w:val="008A4ABE"/>
    <w:rsid w:val="008A66B4"/>
    <w:rsid w:val="008B091E"/>
    <w:rsid w:val="008B655F"/>
    <w:rsid w:val="008B65CE"/>
    <w:rsid w:val="008B79B7"/>
    <w:rsid w:val="008B7D1B"/>
    <w:rsid w:val="008B7FE3"/>
    <w:rsid w:val="008C0F18"/>
    <w:rsid w:val="008C465A"/>
    <w:rsid w:val="008C58AE"/>
    <w:rsid w:val="008C74B9"/>
    <w:rsid w:val="008D1B64"/>
    <w:rsid w:val="008D3F8E"/>
    <w:rsid w:val="008D51B5"/>
    <w:rsid w:val="008D7017"/>
    <w:rsid w:val="008D7B2B"/>
    <w:rsid w:val="008E16A6"/>
    <w:rsid w:val="008E1833"/>
    <w:rsid w:val="008E1D9D"/>
    <w:rsid w:val="008E1ED4"/>
    <w:rsid w:val="008E2A51"/>
    <w:rsid w:val="008E3DA2"/>
    <w:rsid w:val="008E5D1A"/>
    <w:rsid w:val="008E6044"/>
    <w:rsid w:val="008E683F"/>
    <w:rsid w:val="008E75F1"/>
    <w:rsid w:val="008F0197"/>
    <w:rsid w:val="008F5CE8"/>
    <w:rsid w:val="00900F73"/>
    <w:rsid w:val="009022C3"/>
    <w:rsid w:val="009028B5"/>
    <w:rsid w:val="00903D85"/>
    <w:rsid w:val="0090410C"/>
    <w:rsid w:val="00906158"/>
    <w:rsid w:val="009061E0"/>
    <w:rsid w:val="00906690"/>
    <w:rsid w:val="009066E1"/>
    <w:rsid w:val="00911D18"/>
    <w:rsid w:val="009120E7"/>
    <w:rsid w:val="00916943"/>
    <w:rsid w:val="00917A8F"/>
    <w:rsid w:val="00921A0F"/>
    <w:rsid w:val="00925735"/>
    <w:rsid w:val="00925E5A"/>
    <w:rsid w:val="00932BF9"/>
    <w:rsid w:val="00934376"/>
    <w:rsid w:val="009406B6"/>
    <w:rsid w:val="00942038"/>
    <w:rsid w:val="009439DB"/>
    <w:rsid w:val="009453C3"/>
    <w:rsid w:val="00945DE7"/>
    <w:rsid w:val="009460A1"/>
    <w:rsid w:val="0094698F"/>
    <w:rsid w:val="009471D9"/>
    <w:rsid w:val="00947317"/>
    <w:rsid w:val="009504C3"/>
    <w:rsid w:val="009521C3"/>
    <w:rsid w:val="009537E0"/>
    <w:rsid w:val="00953C1C"/>
    <w:rsid w:val="0095496F"/>
    <w:rsid w:val="009561C2"/>
    <w:rsid w:val="0095723A"/>
    <w:rsid w:val="009573EA"/>
    <w:rsid w:val="009606F8"/>
    <w:rsid w:val="00961C6D"/>
    <w:rsid w:val="00962328"/>
    <w:rsid w:val="0096322D"/>
    <w:rsid w:val="00963E92"/>
    <w:rsid w:val="00965E52"/>
    <w:rsid w:val="0096646B"/>
    <w:rsid w:val="00966D66"/>
    <w:rsid w:val="00967BEE"/>
    <w:rsid w:val="00967E05"/>
    <w:rsid w:val="009712DF"/>
    <w:rsid w:val="009725D9"/>
    <w:rsid w:val="00976F56"/>
    <w:rsid w:val="00977987"/>
    <w:rsid w:val="0098324F"/>
    <w:rsid w:val="00983CB2"/>
    <w:rsid w:val="0099050F"/>
    <w:rsid w:val="00990DA4"/>
    <w:rsid w:val="0099186E"/>
    <w:rsid w:val="00991F2A"/>
    <w:rsid w:val="00992111"/>
    <w:rsid w:val="009922CD"/>
    <w:rsid w:val="00992DBD"/>
    <w:rsid w:val="00993D47"/>
    <w:rsid w:val="0099449C"/>
    <w:rsid w:val="0099456E"/>
    <w:rsid w:val="009958DD"/>
    <w:rsid w:val="0099743D"/>
    <w:rsid w:val="009A11A0"/>
    <w:rsid w:val="009A1DBB"/>
    <w:rsid w:val="009A2218"/>
    <w:rsid w:val="009A254B"/>
    <w:rsid w:val="009A3D9C"/>
    <w:rsid w:val="009A6CB7"/>
    <w:rsid w:val="009B0FB2"/>
    <w:rsid w:val="009B1B7D"/>
    <w:rsid w:val="009B5504"/>
    <w:rsid w:val="009B7483"/>
    <w:rsid w:val="009B7EE8"/>
    <w:rsid w:val="009C14C6"/>
    <w:rsid w:val="009C1E8E"/>
    <w:rsid w:val="009C2581"/>
    <w:rsid w:val="009C45AD"/>
    <w:rsid w:val="009C4788"/>
    <w:rsid w:val="009C5876"/>
    <w:rsid w:val="009C7B4C"/>
    <w:rsid w:val="009D079E"/>
    <w:rsid w:val="009D2B08"/>
    <w:rsid w:val="009D3225"/>
    <w:rsid w:val="009D3A62"/>
    <w:rsid w:val="009D597A"/>
    <w:rsid w:val="009D5C16"/>
    <w:rsid w:val="009D5D96"/>
    <w:rsid w:val="009D6286"/>
    <w:rsid w:val="009D75B6"/>
    <w:rsid w:val="009D7DAE"/>
    <w:rsid w:val="009E0AA3"/>
    <w:rsid w:val="009E27FA"/>
    <w:rsid w:val="009E34D9"/>
    <w:rsid w:val="009E69E1"/>
    <w:rsid w:val="009F0B3B"/>
    <w:rsid w:val="009F3941"/>
    <w:rsid w:val="009F5A2B"/>
    <w:rsid w:val="009F67B2"/>
    <w:rsid w:val="00A00F6E"/>
    <w:rsid w:val="00A01676"/>
    <w:rsid w:val="00A01BB5"/>
    <w:rsid w:val="00A077A0"/>
    <w:rsid w:val="00A079F3"/>
    <w:rsid w:val="00A109AB"/>
    <w:rsid w:val="00A10FE6"/>
    <w:rsid w:val="00A11058"/>
    <w:rsid w:val="00A17A4E"/>
    <w:rsid w:val="00A200E9"/>
    <w:rsid w:val="00A207C3"/>
    <w:rsid w:val="00A2475B"/>
    <w:rsid w:val="00A25299"/>
    <w:rsid w:val="00A26537"/>
    <w:rsid w:val="00A30F86"/>
    <w:rsid w:val="00A314DD"/>
    <w:rsid w:val="00A31863"/>
    <w:rsid w:val="00A3278A"/>
    <w:rsid w:val="00A329D6"/>
    <w:rsid w:val="00A32E9A"/>
    <w:rsid w:val="00A33815"/>
    <w:rsid w:val="00A35D02"/>
    <w:rsid w:val="00A36470"/>
    <w:rsid w:val="00A376F3"/>
    <w:rsid w:val="00A44682"/>
    <w:rsid w:val="00A5259D"/>
    <w:rsid w:val="00A52C8F"/>
    <w:rsid w:val="00A56ADA"/>
    <w:rsid w:val="00A61473"/>
    <w:rsid w:val="00A618B0"/>
    <w:rsid w:val="00A6430B"/>
    <w:rsid w:val="00A736FB"/>
    <w:rsid w:val="00A748F2"/>
    <w:rsid w:val="00A760BA"/>
    <w:rsid w:val="00A7789D"/>
    <w:rsid w:val="00A81154"/>
    <w:rsid w:val="00A84288"/>
    <w:rsid w:val="00A8537E"/>
    <w:rsid w:val="00A85E0D"/>
    <w:rsid w:val="00A85E27"/>
    <w:rsid w:val="00A86C3C"/>
    <w:rsid w:val="00A879FC"/>
    <w:rsid w:val="00A90309"/>
    <w:rsid w:val="00A90315"/>
    <w:rsid w:val="00A92C6F"/>
    <w:rsid w:val="00A93925"/>
    <w:rsid w:val="00A96114"/>
    <w:rsid w:val="00A96317"/>
    <w:rsid w:val="00A96643"/>
    <w:rsid w:val="00A969AB"/>
    <w:rsid w:val="00A96A6E"/>
    <w:rsid w:val="00AA36A3"/>
    <w:rsid w:val="00AA3E49"/>
    <w:rsid w:val="00AA4391"/>
    <w:rsid w:val="00AA4F3D"/>
    <w:rsid w:val="00AB1F16"/>
    <w:rsid w:val="00AB6457"/>
    <w:rsid w:val="00AB7165"/>
    <w:rsid w:val="00AC0834"/>
    <w:rsid w:val="00AC1316"/>
    <w:rsid w:val="00AC1FD4"/>
    <w:rsid w:val="00AC2660"/>
    <w:rsid w:val="00AC28A8"/>
    <w:rsid w:val="00AC3982"/>
    <w:rsid w:val="00AC3FC1"/>
    <w:rsid w:val="00AC5A5A"/>
    <w:rsid w:val="00AC7B8D"/>
    <w:rsid w:val="00AD2F70"/>
    <w:rsid w:val="00AD308D"/>
    <w:rsid w:val="00AD46BB"/>
    <w:rsid w:val="00AD5BCE"/>
    <w:rsid w:val="00AD5DB3"/>
    <w:rsid w:val="00AD6AC7"/>
    <w:rsid w:val="00AD7FA8"/>
    <w:rsid w:val="00AE4681"/>
    <w:rsid w:val="00AE4E02"/>
    <w:rsid w:val="00AE5B0B"/>
    <w:rsid w:val="00AE708B"/>
    <w:rsid w:val="00AE72B0"/>
    <w:rsid w:val="00AE753E"/>
    <w:rsid w:val="00AF129B"/>
    <w:rsid w:val="00AF302C"/>
    <w:rsid w:val="00AF4619"/>
    <w:rsid w:val="00AF47C0"/>
    <w:rsid w:val="00AF4804"/>
    <w:rsid w:val="00AF6817"/>
    <w:rsid w:val="00AF6DFE"/>
    <w:rsid w:val="00B014DA"/>
    <w:rsid w:val="00B028C2"/>
    <w:rsid w:val="00B0429A"/>
    <w:rsid w:val="00B04ACD"/>
    <w:rsid w:val="00B05550"/>
    <w:rsid w:val="00B05BEC"/>
    <w:rsid w:val="00B0688D"/>
    <w:rsid w:val="00B11D6C"/>
    <w:rsid w:val="00B12896"/>
    <w:rsid w:val="00B128EE"/>
    <w:rsid w:val="00B14F2F"/>
    <w:rsid w:val="00B157DF"/>
    <w:rsid w:val="00B214EA"/>
    <w:rsid w:val="00B21B91"/>
    <w:rsid w:val="00B23A01"/>
    <w:rsid w:val="00B24990"/>
    <w:rsid w:val="00B26E2E"/>
    <w:rsid w:val="00B275AC"/>
    <w:rsid w:val="00B32D55"/>
    <w:rsid w:val="00B35A06"/>
    <w:rsid w:val="00B36456"/>
    <w:rsid w:val="00B36793"/>
    <w:rsid w:val="00B371E8"/>
    <w:rsid w:val="00B37688"/>
    <w:rsid w:val="00B402DD"/>
    <w:rsid w:val="00B42B33"/>
    <w:rsid w:val="00B42EAC"/>
    <w:rsid w:val="00B43F7C"/>
    <w:rsid w:val="00B45805"/>
    <w:rsid w:val="00B45968"/>
    <w:rsid w:val="00B45C10"/>
    <w:rsid w:val="00B47343"/>
    <w:rsid w:val="00B47409"/>
    <w:rsid w:val="00B50002"/>
    <w:rsid w:val="00B51410"/>
    <w:rsid w:val="00B5224B"/>
    <w:rsid w:val="00B5335C"/>
    <w:rsid w:val="00B53CF9"/>
    <w:rsid w:val="00B57ABE"/>
    <w:rsid w:val="00B60319"/>
    <w:rsid w:val="00B612A1"/>
    <w:rsid w:val="00B6464C"/>
    <w:rsid w:val="00B648EF"/>
    <w:rsid w:val="00B7031F"/>
    <w:rsid w:val="00B70AE3"/>
    <w:rsid w:val="00B70BFF"/>
    <w:rsid w:val="00B710F7"/>
    <w:rsid w:val="00B744F5"/>
    <w:rsid w:val="00B747C9"/>
    <w:rsid w:val="00B75060"/>
    <w:rsid w:val="00B767F1"/>
    <w:rsid w:val="00B80195"/>
    <w:rsid w:val="00B8108F"/>
    <w:rsid w:val="00B81571"/>
    <w:rsid w:val="00B8415E"/>
    <w:rsid w:val="00B846B7"/>
    <w:rsid w:val="00B84B52"/>
    <w:rsid w:val="00B873CB"/>
    <w:rsid w:val="00B90052"/>
    <w:rsid w:val="00B919A9"/>
    <w:rsid w:val="00B93367"/>
    <w:rsid w:val="00B942FE"/>
    <w:rsid w:val="00B943A3"/>
    <w:rsid w:val="00B96530"/>
    <w:rsid w:val="00BA0FE4"/>
    <w:rsid w:val="00BA212A"/>
    <w:rsid w:val="00BA3929"/>
    <w:rsid w:val="00BB0FAA"/>
    <w:rsid w:val="00BB2745"/>
    <w:rsid w:val="00BB30D0"/>
    <w:rsid w:val="00BB3C65"/>
    <w:rsid w:val="00BB4BAE"/>
    <w:rsid w:val="00BB5210"/>
    <w:rsid w:val="00BB52A6"/>
    <w:rsid w:val="00BC1500"/>
    <w:rsid w:val="00BC2FE8"/>
    <w:rsid w:val="00BD0EC2"/>
    <w:rsid w:val="00BD299A"/>
    <w:rsid w:val="00BE19AF"/>
    <w:rsid w:val="00BE2066"/>
    <w:rsid w:val="00BE2F76"/>
    <w:rsid w:val="00BE3AC6"/>
    <w:rsid w:val="00BE4E46"/>
    <w:rsid w:val="00BE5BA6"/>
    <w:rsid w:val="00BF0345"/>
    <w:rsid w:val="00BF1C5F"/>
    <w:rsid w:val="00BF6CEA"/>
    <w:rsid w:val="00C00267"/>
    <w:rsid w:val="00C02285"/>
    <w:rsid w:val="00C025B7"/>
    <w:rsid w:val="00C03AB5"/>
    <w:rsid w:val="00C07BC0"/>
    <w:rsid w:val="00C10C3F"/>
    <w:rsid w:val="00C11D40"/>
    <w:rsid w:val="00C1277A"/>
    <w:rsid w:val="00C12952"/>
    <w:rsid w:val="00C14020"/>
    <w:rsid w:val="00C16113"/>
    <w:rsid w:val="00C210B3"/>
    <w:rsid w:val="00C218C9"/>
    <w:rsid w:val="00C22BC6"/>
    <w:rsid w:val="00C24ED8"/>
    <w:rsid w:val="00C2587F"/>
    <w:rsid w:val="00C260DE"/>
    <w:rsid w:val="00C27519"/>
    <w:rsid w:val="00C331A4"/>
    <w:rsid w:val="00C34918"/>
    <w:rsid w:val="00C35827"/>
    <w:rsid w:val="00C35AC3"/>
    <w:rsid w:val="00C4082A"/>
    <w:rsid w:val="00C4112F"/>
    <w:rsid w:val="00C43025"/>
    <w:rsid w:val="00C4372F"/>
    <w:rsid w:val="00C46312"/>
    <w:rsid w:val="00C47EAF"/>
    <w:rsid w:val="00C51B5A"/>
    <w:rsid w:val="00C51FCA"/>
    <w:rsid w:val="00C525A6"/>
    <w:rsid w:val="00C52BCF"/>
    <w:rsid w:val="00C53053"/>
    <w:rsid w:val="00C53276"/>
    <w:rsid w:val="00C53FB8"/>
    <w:rsid w:val="00C55175"/>
    <w:rsid w:val="00C60377"/>
    <w:rsid w:val="00C63CD9"/>
    <w:rsid w:val="00C63E51"/>
    <w:rsid w:val="00C63E78"/>
    <w:rsid w:val="00C66383"/>
    <w:rsid w:val="00C674BB"/>
    <w:rsid w:val="00C739D0"/>
    <w:rsid w:val="00C77B18"/>
    <w:rsid w:val="00C77FC5"/>
    <w:rsid w:val="00C77FCA"/>
    <w:rsid w:val="00C803D3"/>
    <w:rsid w:val="00C812C8"/>
    <w:rsid w:val="00C81924"/>
    <w:rsid w:val="00C83B0A"/>
    <w:rsid w:val="00C83FBE"/>
    <w:rsid w:val="00C8456A"/>
    <w:rsid w:val="00C84817"/>
    <w:rsid w:val="00C84823"/>
    <w:rsid w:val="00C859FC"/>
    <w:rsid w:val="00C86477"/>
    <w:rsid w:val="00C870E3"/>
    <w:rsid w:val="00C91F94"/>
    <w:rsid w:val="00C939A1"/>
    <w:rsid w:val="00C94B26"/>
    <w:rsid w:val="00C94FF4"/>
    <w:rsid w:val="00C95C8F"/>
    <w:rsid w:val="00C971F4"/>
    <w:rsid w:val="00CA0005"/>
    <w:rsid w:val="00CA06E2"/>
    <w:rsid w:val="00CA176F"/>
    <w:rsid w:val="00CA1F7B"/>
    <w:rsid w:val="00CA5EC3"/>
    <w:rsid w:val="00CB1444"/>
    <w:rsid w:val="00CB24E6"/>
    <w:rsid w:val="00CB3D81"/>
    <w:rsid w:val="00CB6667"/>
    <w:rsid w:val="00CB6A6B"/>
    <w:rsid w:val="00CC1A3F"/>
    <w:rsid w:val="00CC41E2"/>
    <w:rsid w:val="00CC45E5"/>
    <w:rsid w:val="00CD3B6F"/>
    <w:rsid w:val="00CD5ABF"/>
    <w:rsid w:val="00CE273C"/>
    <w:rsid w:val="00CE34CD"/>
    <w:rsid w:val="00CF3107"/>
    <w:rsid w:val="00CF7127"/>
    <w:rsid w:val="00D00AAA"/>
    <w:rsid w:val="00D027F5"/>
    <w:rsid w:val="00D04CE7"/>
    <w:rsid w:val="00D07E5C"/>
    <w:rsid w:val="00D101BC"/>
    <w:rsid w:val="00D10708"/>
    <w:rsid w:val="00D1149B"/>
    <w:rsid w:val="00D12215"/>
    <w:rsid w:val="00D14069"/>
    <w:rsid w:val="00D21A2E"/>
    <w:rsid w:val="00D22974"/>
    <w:rsid w:val="00D242E0"/>
    <w:rsid w:val="00D254EB"/>
    <w:rsid w:val="00D26197"/>
    <w:rsid w:val="00D26BAD"/>
    <w:rsid w:val="00D304FA"/>
    <w:rsid w:val="00D30EFD"/>
    <w:rsid w:val="00D33C56"/>
    <w:rsid w:val="00D37550"/>
    <w:rsid w:val="00D44282"/>
    <w:rsid w:val="00D44F5C"/>
    <w:rsid w:val="00D454D8"/>
    <w:rsid w:val="00D45D90"/>
    <w:rsid w:val="00D46A98"/>
    <w:rsid w:val="00D47510"/>
    <w:rsid w:val="00D506A0"/>
    <w:rsid w:val="00D510A4"/>
    <w:rsid w:val="00D53969"/>
    <w:rsid w:val="00D541DD"/>
    <w:rsid w:val="00D55237"/>
    <w:rsid w:val="00D56AD3"/>
    <w:rsid w:val="00D574B7"/>
    <w:rsid w:val="00D577F7"/>
    <w:rsid w:val="00D6006B"/>
    <w:rsid w:val="00D60D0E"/>
    <w:rsid w:val="00D6351F"/>
    <w:rsid w:val="00D64450"/>
    <w:rsid w:val="00D65B2E"/>
    <w:rsid w:val="00D67B6D"/>
    <w:rsid w:val="00D67E33"/>
    <w:rsid w:val="00D712C6"/>
    <w:rsid w:val="00D717F3"/>
    <w:rsid w:val="00D72652"/>
    <w:rsid w:val="00D773F9"/>
    <w:rsid w:val="00D808CE"/>
    <w:rsid w:val="00D81A11"/>
    <w:rsid w:val="00D87623"/>
    <w:rsid w:val="00D87707"/>
    <w:rsid w:val="00D92493"/>
    <w:rsid w:val="00D92979"/>
    <w:rsid w:val="00D92B28"/>
    <w:rsid w:val="00D953B1"/>
    <w:rsid w:val="00D96AE7"/>
    <w:rsid w:val="00D97474"/>
    <w:rsid w:val="00DA13E3"/>
    <w:rsid w:val="00DA2891"/>
    <w:rsid w:val="00DA2C8B"/>
    <w:rsid w:val="00DA2D11"/>
    <w:rsid w:val="00DA5700"/>
    <w:rsid w:val="00DA603B"/>
    <w:rsid w:val="00DB28E5"/>
    <w:rsid w:val="00DB3713"/>
    <w:rsid w:val="00DB4125"/>
    <w:rsid w:val="00DB5B2D"/>
    <w:rsid w:val="00DB77BE"/>
    <w:rsid w:val="00DC0614"/>
    <w:rsid w:val="00DC1CD8"/>
    <w:rsid w:val="00DC20DB"/>
    <w:rsid w:val="00DC3082"/>
    <w:rsid w:val="00DC3A00"/>
    <w:rsid w:val="00DC50DE"/>
    <w:rsid w:val="00DC60D8"/>
    <w:rsid w:val="00DC7FC9"/>
    <w:rsid w:val="00DD2FEA"/>
    <w:rsid w:val="00DD5560"/>
    <w:rsid w:val="00DD5B69"/>
    <w:rsid w:val="00DD667F"/>
    <w:rsid w:val="00DD69F3"/>
    <w:rsid w:val="00DD7649"/>
    <w:rsid w:val="00DE0B7E"/>
    <w:rsid w:val="00DE4C75"/>
    <w:rsid w:val="00DE4F86"/>
    <w:rsid w:val="00DE544C"/>
    <w:rsid w:val="00DE5990"/>
    <w:rsid w:val="00DE5BF4"/>
    <w:rsid w:val="00DE5D79"/>
    <w:rsid w:val="00DE67EB"/>
    <w:rsid w:val="00DF6558"/>
    <w:rsid w:val="00DF6CBC"/>
    <w:rsid w:val="00DF6E89"/>
    <w:rsid w:val="00DF71CF"/>
    <w:rsid w:val="00E00802"/>
    <w:rsid w:val="00E01FFA"/>
    <w:rsid w:val="00E05DBD"/>
    <w:rsid w:val="00E06CBB"/>
    <w:rsid w:val="00E075E4"/>
    <w:rsid w:val="00E113AF"/>
    <w:rsid w:val="00E13211"/>
    <w:rsid w:val="00E13C9F"/>
    <w:rsid w:val="00E1516D"/>
    <w:rsid w:val="00E1603C"/>
    <w:rsid w:val="00E16AD6"/>
    <w:rsid w:val="00E17BA2"/>
    <w:rsid w:val="00E224D9"/>
    <w:rsid w:val="00E25448"/>
    <w:rsid w:val="00E27276"/>
    <w:rsid w:val="00E27340"/>
    <w:rsid w:val="00E35AB4"/>
    <w:rsid w:val="00E35FFC"/>
    <w:rsid w:val="00E36860"/>
    <w:rsid w:val="00E368ED"/>
    <w:rsid w:val="00E369D0"/>
    <w:rsid w:val="00E37565"/>
    <w:rsid w:val="00E409BC"/>
    <w:rsid w:val="00E41256"/>
    <w:rsid w:val="00E427FD"/>
    <w:rsid w:val="00E43620"/>
    <w:rsid w:val="00E44907"/>
    <w:rsid w:val="00E45DD0"/>
    <w:rsid w:val="00E47595"/>
    <w:rsid w:val="00E47673"/>
    <w:rsid w:val="00E50B5A"/>
    <w:rsid w:val="00E56F00"/>
    <w:rsid w:val="00E5729C"/>
    <w:rsid w:val="00E614F5"/>
    <w:rsid w:val="00E615E5"/>
    <w:rsid w:val="00E63505"/>
    <w:rsid w:val="00E64E0B"/>
    <w:rsid w:val="00E64F6A"/>
    <w:rsid w:val="00E672C0"/>
    <w:rsid w:val="00E67555"/>
    <w:rsid w:val="00E72C97"/>
    <w:rsid w:val="00E74E47"/>
    <w:rsid w:val="00E756C4"/>
    <w:rsid w:val="00E767FD"/>
    <w:rsid w:val="00E80882"/>
    <w:rsid w:val="00E8312B"/>
    <w:rsid w:val="00E837F7"/>
    <w:rsid w:val="00E85487"/>
    <w:rsid w:val="00E85575"/>
    <w:rsid w:val="00E8578F"/>
    <w:rsid w:val="00E87A6C"/>
    <w:rsid w:val="00E9019F"/>
    <w:rsid w:val="00E904EA"/>
    <w:rsid w:val="00E917E3"/>
    <w:rsid w:val="00E92312"/>
    <w:rsid w:val="00E926C8"/>
    <w:rsid w:val="00E92E70"/>
    <w:rsid w:val="00E9322A"/>
    <w:rsid w:val="00E9662A"/>
    <w:rsid w:val="00E974D2"/>
    <w:rsid w:val="00EA162A"/>
    <w:rsid w:val="00EA22B3"/>
    <w:rsid w:val="00EA25B0"/>
    <w:rsid w:val="00EA44AF"/>
    <w:rsid w:val="00EA4B76"/>
    <w:rsid w:val="00EA7AAD"/>
    <w:rsid w:val="00EB1AB5"/>
    <w:rsid w:val="00EB1F00"/>
    <w:rsid w:val="00EB3452"/>
    <w:rsid w:val="00EB3AA8"/>
    <w:rsid w:val="00EB3D19"/>
    <w:rsid w:val="00EB3F26"/>
    <w:rsid w:val="00EB7671"/>
    <w:rsid w:val="00EC49F3"/>
    <w:rsid w:val="00ED34BC"/>
    <w:rsid w:val="00ED5519"/>
    <w:rsid w:val="00ED56FA"/>
    <w:rsid w:val="00ED6780"/>
    <w:rsid w:val="00ED743E"/>
    <w:rsid w:val="00EE20F1"/>
    <w:rsid w:val="00EE2CE6"/>
    <w:rsid w:val="00EE390B"/>
    <w:rsid w:val="00EE5079"/>
    <w:rsid w:val="00EE6A5F"/>
    <w:rsid w:val="00EE725D"/>
    <w:rsid w:val="00EF337F"/>
    <w:rsid w:val="00EF3EEA"/>
    <w:rsid w:val="00EF4470"/>
    <w:rsid w:val="00EF44D3"/>
    <w:rsid w:val="00EF7CFA"/>
    <w:rsid w:val="00F00830"/>
    <w:rsid w:val="00F01F91"/>
    <w:rsid w:val="00F029A1"/>
    <w:rsid w:val="00F02D4B"/>
    <w:rsid w:val="00F04BCF"/>
    <w:rsid w:val="00F04DAF"/>
    <w:rsid w:val="00F05EE5"/>
    <w:rsid w:val="00F10CE0"/>
    <w:rsid w:val="00F1197C"/>
    <w:rsid w:val="00F16729"/>
    <w:rsid w:val="00F17DA5"/>
    <w:rsid w:val="00F20750"/>
    <w:rsid w:val="00F20D62"/>
    <w:rsid w:val="00F223D4"/>
    <w:rsid w:val="00F2317E"/>
    <w:rsid w:val="00F27BFE"/>
    <w:rsid w:val="00F304F5"/>
    <w:rsid w:val="00F30D06"/>
    <w:rsid w:val="00F34368"/>
    <w:rsid w:val="00F3456A"/>
    <w:rsid w:val="00F358D2"/>
    <w:rsid w:val="00F359B2"/>
    <w:rsid w:val="00F37491"/>
    <w:rsid w:val="00F40669"/>
    <w:rsid w:val="00F40C93"/>
    <w:rsid w:val="00F41EA4"/>
    <w:rsid w:val="00F432DE"/>
    <w:rsid w:val="00F434FC"/>
    <w:rsid w:val="00F449C4"/>
    <w:rsid w:val="00F44A02"/>
    <w:rsid w:val="00F44DE5"/>
    <w:rsid w:val="00F45568"/>
    <w:rsid w:val="00F464FF"/>
    <w:rsid w:val="00F46E34"/>
    <w:rsid w:val="00F46EDB"/>
    <w:rsid w:val="00F474F4"/>
    <w:rsid w:val="00F505CA"/>
    <w:rsid w:val="00F54124"/>
    <w:rsid w:val="00F549EA"/>
    <w:rsid w:val="00F55292"/>
    <w:rsid w:val="00F5548F"/>
    <w:rsid w:val="00F55804"/>
    <w:rsid w:val="00F55E76"/>
    <w:rsid w:val="00F64164"/>
    <w:rsid w:val="00F64888"/>
    <w:rsid w:val="00F64A40"/>
    <w:rsid w:val="00F709EE"/>
    <w:rsid w:val="00F70BE6"/>
    <w:rsid w:val="00F7152D"/>
    <w:rsid w:val="00F73776"/>
    <w:rsid w:val="00F7519E"/>
    <w:rsid w:val="00F75ADF"/>
    <w:rsid w:val="00F80A51"/>
    <w:rsid w:val="00F8231A"/>
    <w:rsid w:val="00F82570"/>
    <w:rsid w:val="00F84263"/>
    <w:rsid w:val="00F844F4"/>
    <w:rsid w:val="00F85100"/>
    <w:rsid w:val="00F85797"/>
    <w:rsid w:val="00F8590F"/>
    <w:rsid w:val="00F86284"/>
    <w:rsid w:val="00F86EDE"/>
    <w:rsid w:val="00F913BA"/>
    <w:rsid w:val="00F920C9"/>
    <w:rsid w:val="00F92330"/>
    <w:rsid w:val="00F92F7C"/>
    <w:rsid w:val="00F9324D"/>
    <w:rsid w:val="00F93F4D"/>
    <w:rsid w:val="00F94E1E"/>
    <w:rsid w:val="00F95858"/>
    <w:rsid w:val="00FA1305"/>
    <w:rsid w:val="00FA4F66"/>
    <w:rsid w:val="00FA7AF5"/>
    <w:rsid w:val="00FB166E"/>
    <w:rsid w:val="00FB4DAF"/>
    <w:rsid w:val="00FB5F9D"/>
    <w:rsid w:val="00FB6640"/>
    <w:rsid w:val="00FB69EF"/>
    <w:rsid w:val="00FB760E"/>
    <w:rsid w:val="00FB7AA4"/>
    <w:rsid w:val="00FC1B01"/>
    <w:rsid w:val="00FC1D22"/>
    <w:rsid w:val="00FC57AD"/>
    <w:rsid w:val="00FC6CA8"/>
    <w:rsid w:val="00FC6F5B"/>
    <w:rsid w:val="00FC7226"/>
    <w:rsid w:val="00FD14E0"/>
    <w:rsid w:val="00FD254E"/>
    <w:rsid w:val="00FD2758"/>
    <w:rsid w:val="00FD35E4"/>
    <w:rsid w:val="00FD4062"/>
    <w:rsid w:val="00FD5654"/>
    <w:rsid w:val="00FD6124"/>
    <w:rsid w:val="00FD6F4A"/>
    <w:rsid w:val="00FE081E"/>
    <w:rsid w:val="00FE0CDA"/>
    <w:rsid w:val="00FE3313"/>
    <w:rsid w:val="00FE3D67"/>
    <w:rsid w:val="00FE4A50"/>
    <w:rsid w:val="00FE5BBF"/>
    <w:rsid w:val="00FE5C31"/>
    <w:rsid w:val="00FE6051"/>
    <w:rsid w:val="00FE6502"/>
    <w:rsid w:val="00FE78C0"/>
    <w:rsid w:val="00FF251A"/>
    <w:rsid w:val="00FF392E"/>
    <w:rsid w:val="00FF3D33"/>
    <w:rsid w:val="00FF7A7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C7B1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5DBA"/>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395DBA"/>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uiPriority w:val="9"/>
    <w:qFormat/>
    <w:rsid w:val="00395DBA"/>
    <w:pPr>
      <w:keepNext/>
      <w:ind w:right="-6"/>
      <w:jc w:val="both"/>
      <w:outlineLvl w:val="1"/>
    </w:pPr>
    <w:rPr>
      <w:rFonts w:ascii="Arial" w:hAnsi="Arial"/>
      <w:b/>
      <w:bCs/>
      <w:sz w:val="20"/>
      <w:u w:val="single"/>
    </w:rPr>
  </w:style>
  <w:style w:type="paragraph" w:styleId="Ttulo3">
    <w:name w:val="heading 3"/>
    <w:basedOn w:val="Normal"/>
    <w:next w:val="Normal"/>
    <w:link w:val="Ttulo3Car"/>
    <w:unhideWhenUsed/>
    <w:qFormat/>
    <w:rsid w:val="00395DBA"/>
    <w:pPr>
      <w:keepNext/>
      <w:keepLines/>
      <w:spacing w:before="200"/>
      <w:outlineLvl w:val="2"/>
    </w:pPr>
    <w:rPr>
      <w:rFonts w:ascii="Cambria" w:hAnsi="Cambria"/>
      <w:b/>
      <w:bCs/>
      <w:color w:val="4F81BD"/>
      <w:sz w:val="20"/>
      <w:szCs w:val="20"/>
      <w:lang w:val="es-ES_tradnl" w:eastAsia="x-none"/>
    </w:rPr>
  </w:style>
  <w:style w:type="paragraph" w:styleId="Ttulo4">
    <w:name w:val="heading 4"/>
    <w:basedOn w:val="Normal"/>
    <w:next w:val="Normal"/>
    <w:link w:val="Ttulo4Car"/>
    <w:qFormat/>
    <w:rsid w:val="00395DBA"/>
    <w:pPr>
      <w:widowControl w:val="0"/>
      <w:outlineLvl w:val="3"/>
    </w:pPr>
    <w:rPr>
      <w:rFonts w:ascii="Courier New" w:hAnsi="Courier New"/>
      <w:szCs w:val="20"/>
      <w:lang w:val="es-ES_tradnl" w:eastAsia="es-EC"/>
    </w:rPr>
  </w:style>
  <w:style w:type="paragraph" w:styleId="Ttulo5">
    <w:name w:val="heading 5"/>
    <w:basedOn w:val="Normal"/>
    <w:next w:val="Normal"/>
    <w:link w:val="Ttulo5Car"/>
    <w:unhideWhenUsed/>
    <w:qFormat/>
    <w:rsid w:val="00395DBA"/>
    <w:pPr>
      <w:keepNext/>
      <w:keepLines/>
      <w:spacing w:before="200"/>
      <w:outlineLvl w:val="4"/>
    </w:pPr>
    <w:rPr>
      <w:rFonts w:ascii="Cambria" w:hAnsi="Cambria"/>
      <w:color w:val="243F60"/>
      <w:sz w:val="20"/>
      <w:szCs w:val="20"/>
      <w:lang w:val="es-ES_tradnl" w:eastAsia="x-none"/>
    </w:rPr>
  </w:style>
  <w:style w:type="paragraph" w:styleId="Ttulo6">
    <w:name w:val="heading 6"/>
    <w:basedOn w:val="Normal"/>
    <w:next w:val="Normal"/>
    <w:link w:val="Ttulo6Car"/>
    <w:qFormat/>
    <w:rsid w:val="00395DBA"/>
    <w:pPr>
      <w:spacing w:before="240" w:after="60"/>
      <w:outlineLvl w:val="5"/>
    </w:pPr>
    <w:rPr>
      <w:b/>
      <w:bCs/>
      <w:sz w:val="22"/>
      <w:szCs w:val="22"/>
    </w:rPr>
  </w:style>
  <w:style w:type="paragraph" w:styleId="Ttulo7">
    <w:name w:val="heading 7"/>
    <w:basedOn w:val="Normal"/>
    <w:next w:val="Normal"/>
    <w:link w:val="Ttulo7Car"/>
    <w:qFormat/>
    <w:rsid w:val="00395DBA"/>
    <w:pPr>
      <w:keepNext/>
      <w:outlineLvl w:val="6"/>
    </w:pPr>
    <w:rPr>
      <w:rFonts w:ascii="ZapfHumnst BT" w:eastAsia="Batang" w:hAnsi="ZapfHumnst BT"/>
      <w:b/>
      <w:spacing w:val="-2"/>
      <w:sz w:val="20"/>
      <w:szCs w:val="20"/>
      <w:lang w:val="es-ES_tradnl" w:eastAsia="x-none"/>
    </w:rPr>
  </w:style>
  <w:style w:type="paragraph" w:styleId="Ttulo8">
    <w:name w:val="heading 8"/>
    <w:basedOn w:val="Normal"/>
    <w:next w:val="Normal"/>
    <w:link w:val="Ttulo8Car"/>
    <w:qFormat/>
    <w:rsid w:val="00395DBA"/>
    <w:pPr>
      <w:keepNext/>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1418" w:hanging="1418"/>
      <w:jc w:val="both"/>
      <w:outlineLvl w:val="7"/>
    </w:pPr>
    <w:rPr>
      <w:rFonts w:ascii="Tahoma" w:eastAsia="Batang" w:hAnsi="Tahoma"/>
      <w:b/>
      <w:spacing w:val="-2"/>
      <w:sz w:val="20"/>
      <w:szCs w:val="20"/>
      <w:lang w:val="es-ES_tradnl" w:eastAsia="x-none"/>
    </w:rPr>
  </w:style>
  <w:style w:type="paragraph" w:styleId="Ttulo9">
    <w:name w:val="heading 9"/>
    <w:basedOn w:val="Normal"/>
    <w:next w:val="Normal"/>
    <w:link w:val="Ttulo9Car"/>
    <w:qFormat/>
    <w:rsid w:val="00395DBA"/>
    <w:pPr>
      <w:keepNext/>
      <w:outlineLvl w:val="8"/>
    </w:pPr>
    <w:rPr>
      <w:rFonts w:ascii="Tahoma" w:eastAsia="Batang" w:hAnsi="Tahoma"/>
      <w:spacing w:val="-2"/>
      <w:sz w:val="20"/>
      <w:szCs w:val="20"/>
      <w:u w:val="single"/>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95DBA"/>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uiPriority w:val="9"/>
    <w:rsid w:val="00395DBA"/>
    <w:rPr>
      <w:rFonts w:ascii="Arial" w:eastAsia="Times New Roman" w:hAnsi="Arial" w:cs="Times New Roman"/>
      <w:b/>
      <w:bCs/>
      <w:sz w:val="20"/>
      <w:szCs w:val="24"/>
      <w:u w:val="single"/>
      <w:lang w:val="es-ES" w:eastAsia="es-ES"/>
    </w:rPr>
  </w:style>
  <w:style w:type="character" w:customStyle="1" w:styleId="Ttulo3Car">
    <w:name w:val="Título 3 Car"/>
    <w:basedOn w:val="Fuentedeprrafopredeter"/>
    <w:link w:val="Ttulo3"/>
    <w:rsid w:val="00395DBA"/>
    <w:rPr>
      <w:rFonts w:ascii="Cambria" w:eastAsia="Times New Roman" w:hAnsi="Cambria" w:cs="Times New Roman"/>
      <w:b/>
      <w:bCs/>
      <w:color w:val="4F81BD"/>
      <w:sz w:val="20"/>
      <w:szCs w:val="20"/>
      <w:lang w:val="es-ES_tradnl" w:eastAsia="x-none"/>
    </w:rPr>
  </w:style>
  <w:style w:type="character" w:customStyle="1" w:styleId="Ttulo4Car">
    <w:name w:val="Título 4 Car"/>
    <w:basedOn w:val="Fuentedeprrafopredeter"/>
    <w:link w:val="Ttulo4"/>
    <w:rsid w:val="00395DBA"/>
    <w:rPr>
      <w:rFonts w:ascii="Courier New" w:eastAsia="Times New Roman" w:hAnsi="Courier New" w:cs="Times New Roman"/>
      <w:sz w:val="24"/>
      <w:szCs w:val="20"/>
      <w:lang w:val="es-ES_tradnl" w:eastAsia="es-EC"/>
    </w:rPr>
  </w:style>
  <w:style w:type="character" w:customStyle="1" w:styleId="Ttulo5Car">
    <w:name w:val="Título 5 Car"/>
    <w:basedOn w:val="Fuentedeprrafopredeter"/>
    <w:link w:val="Ttulo5"/>
    <w:rsid w:val="00395DBA"/>
    <w:rPr>
      <w:rFonts w:ascii="Cambria" w:eastAsia="Times New Roman" w:hAnsi="Cambria" w:cs="Times New Roman"/>
      <w:color w:val="243F60"/>
      <w:sz w:val="20"/>
      <w:szCs w:val="20"/>
      <w:lang w:val="es-ES_tradnl" w:eastAsia="x-none"/>
    </w:rPr>
  </w:style>
  <w:style w:type="character" w:customStyle="1" w:styleId="Ttulo6Car">
    <w:name w:val="Título 6 Car"/>
    <w:basedOn w:val="Fuentedeprrafopredeter"/>
    <w:link w:val="Ttulo6"/>
    <w:rsid w:val="00395DBA"/>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395DBA"/>
    <w:rPr>
      <w:rFonts w:ascii="ZapfHumnst BT" w:eastAsia="Batang" w:hAnsi="ZapfHumnst BT" w:cs="Times New Roman"/>
      <w:b/>
      <w:spacing w:val="-2"/>
      <w:sz w:val="20"/>
      <w:szCs w:val="20"/>
      <w:lang w:val="es-ES_tradnl" w:eastAsia="x-none"/>
    </w:rPr>
  </w:style>
  <w:style w:type="character" w:customStyle="1" w:styleId="Ttulo8Car">
    <w:name w:val="Título 8 Car"/>
    <w:basedOn w:val="Fuentedeprrafopredeter"/>
    <w:link w:val="Ttulo8"/>
    <w:rsid w:val="00395DBA"/>
    <w:rPr>
      <w:rFonts w:ascii="Tahoma" w:eastAsia="Batang" w:hAnsi="Tahoma" w:cs="Times New Roman"/>
      <w:b/>
      <w:spacing w:val="-2"/>
      <w:sz w:val="20"/>
      <w:szCs w:val="20"/>
      <w:lang w:val="es-ES_tradnl" w:eastAsia="x-none"/>
    </w:rPr>
  </w:style>
  <w:style w:type="character" w:customStyle="1" w:styleId="Ttulo9Car">
    <w:name w:val="Título 9 Car"/>
    <w:basedOn w:val="Fuentedeprrafopredeter"/>
    <w:link w:val="Ttulo9"/>
    <w:rsid w:val="00395DBA"/>
    <w:rPr>
      <w:rFonts w:ascii="Tahoma" w:eastAsia="Batang" w:hAnsi="Tahoma" w:cs="Times New Roman"/>
      <w:spacing w:val="-2"/>
      <w:sz w:val="20"/>
      <w:szCs w:val="20"/>
      <w:u w:val="single"/>
      <w:lang w:val="es-ES_tradnl" w:eastAsia="x-none"/>
    </w:rPr>
  </w:style>
  <w:style w:type="paragraph" w:styleId="Sangradetextonormal">
    <w:name w:val="Body Text Indent"/>
    <w:basedOn w:val="Normal"/>
    <w:link w:val="SangradetextonormalCar"/>
    <w:rsid w:val="00395DBA"/>
    <w:pPr>
      <w:widowControl w:val="0"/>
      <w:tabs>
        <w:tab w:val="left" w:pos="-720"/>
        <w:tab w:val="left" w:pos="567"/>
      </w:tabs>
      <w:suppressAutoHyphens/>
      <w:ind w:left="567" w:hanging="567"/>
    </w:pPr>
    <w:rPr>
      <w:rFonts w:ascii="ZapfHumnst BT" w:hAnsi="ZapfHumnst BT"/>
      <w:spacing w:val="-3"/>
      <w:sz w:val="22"/>
      <w:szCs w:val="20"/>
      <w:lang w:val="x-none" w:eastAsia="x-none"/>
    </w:rPr>
  </w:style>
  <w:style w:type="character" w:customStyle="1" w:styleId="SangradetextonormalCar">
    <w:name w:val="Sangría de texto normal Car"/>
    <w:basedOn w:val="Fuentedeprrafopredeter"/>
    <w:link w:val="Sangradetextonormal"/>
    <w:rsid w:val="00395DBA"/>
    <w:rPr>
      <w:rFonts w:ascii="ZapfHumnst BT" w:eastAsia="Times New Roman" w:hAnsi="ZapfHumnst BT" w:cs="Times New Roman"/>
      <w:spacing w:val="-3"/>
      <w:szCs w:val="20"/>
      <w:lang w:val="x-none" w:eastAsia="x-none"/>
    </w:rPr>
  </w:style>
  <w:style w:type="paragraph" w:styleId="Textoindependiente">
    <w:name w:val="Body Text"/>
    <w:basedOn w:val="Normal"/>
    <w:link w:val="TextoindependienteCar"/>
    <w:rsid w:val="00395DBA"/>
    <w:pPr>
      <w:widowControl w:val="0"/>
      <w:jc w:val="both"/>
    </w:pPr>
    <w:rPr>
      <w:rFonts w:ascii="ZapfHumnst BT" w:hAnsi="ZapfHumnst BT"/>
      <w:sz w:val="22"/>
      <w:szCs w:val="20"/>
      <w:lang w:val="es-EC" w:eastAsia="es-EC"/>
    </w:rPr>
  </w:style>
  <w:style w:type="character" w:customStyle="1" w:styleId="TextoindependienteCar">
    <w:name w:val="Texto independiente Car"/>
    <w:basedOn w:val="Fuentedeprrafopredeter"/>
    <w:link w:val="Textoindependiente"/>
    <w:rsid w:val="00395DBA"/>
    <w:rPr>
      <w:rFonts w:ascii="ZapfHumnst BT" w:eastAsia="Times New Roman" w:hAnsi="ZapfHumnst BT" w:cs="Times New Roman"/>
      <w:szCs w:val="20"/>
      <w:lang w:eastAsia="es-EC"/>
    </w:rPr>
  </w:style>
  <w:style w:type="paragraph" w:styleId="Sangra3detindependiente">
    <w:name w:val="Body Text Indent 3"/>
    <w:basedOn w:val="Normal"/>
    <w:link w:val="Sangra3detindependienteCar"/>
    <w:rsid w:val="00395DBA"/>
    <w:pPr>
      <w:widowControl w:val="0"/>
      <w:tabs>
        <w:tab w:val="left" w:pos="-720"/>
      </w:tabs>
      <w:suppressAutoHyphens/>
      <w:ind w:left="709" w:hanging="709"/>
      <w:jc w:val="both"/>
    </w:pPr>
    <w:rPr>
      <w:rFonts w:ascii="ZapfHumnst BT" w:hAnsi="ZapfHumnst BT"/>
      <w:spacing w:val="-3"/>
      <w:sz w:val="22"/>
      <w:szCs w:val="20"/>
      <w:lang w:val="x-none" w:eastAsia="x-none"/>
    </w:rPr>
  </w:style>
  <w:style w:type="character" w:customStyle="1" w:styleId="Sangra3detindependienteCar">
    <w:name w:val="Sangría 3 de t. independiente Car"/>
    <w:basedOn w:val="Fuentedeprrafopredeter"/>
    <w:link w:val="Sangra3detindependiente"/>
    <w:rsid w:val="00395DBA"/>
    <w:rPr>
      <w:rFonts w:ascii="ZapfHumnst BT" w:eastAsia="Times New Roman" w:hAnsi="ZapfHumnst BT" w:cs="Times New Roman"/>
      <w:spacing w:val="-3"/>
      <w:szCs w:val="20"/>
      <w:lang w:val="x-none" w:eastAsia="x-none"/>
    </w:rPr>
  </w:style>
  <w:style w:type="paragraph" w:customStyle="1" w:styleId="just">
    <w:name w:val="just"/>
    <w:basedOn w:val="Normal"/>
    <w:rsid w:val="00395DBA"/>
    <w:pPr>
      <w:overflowPunct w:val="0"/>
      <w:autoSpaceDE w:val="0"/>
      <w:autoSpaceDN w:val="0"/>
      <w:adjustRightInd w:val="0"/>
      <w:ind w:left="1260"/>
      <w:jc w:val="both"/>
      <w:textAlignment w:val="baseline"/>
    </w:pPr>
    <w:rPr>
      <w:rFonts w:ascii="Times" w:hAnsi="Times"/>
      <w:sz w:val="20"/>
      <w:szCs w:val="20"/>
      <w:lang w:eastAsia="en-US"/>
    </w:rPr>
  </w:style>
  <w:style w:type="paragraph" w:customStyle="1" w:styleId="justificado">
    <w:name w:val="justificado"/>
    <w:basedOn w:val="Normal"/>
    <w:rsid w:val="00395DBA"/>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bloque">
    <w:name w:val="Block Text"/>
    <w:basedOn w:val="Normal"/>
    <w:rsid w:val="00395DBA"/>
    <w:pPr>
      <w:widowControl w:val="0"/>
      <w:ind w:left="567" w:right="-6"/>
      <w:jc w:val="both"/>
    </w:pPr>
    <w:rPr>
      <w:rFonts w:ascii="Arial" w:hAnsi="Arial" w:cs="Arial"/>
      <w:bCs/>
      <w:sz w:val="20"/>
      <w:lang w:val="es-EC" w:eastAsia="es-EC"/>
    </w:rPr>
  </w:style>
  <w:style w:type="paragraph" w:customStyle="1" w:styleId="2">
    <w:name w:val="2"/>
    <w:basedOn w:val="Normal"/>
    <w:rsid w:val="00395DBA"/>
    <w:pPr>
      <w:tabs>
        <w:tab w:val="left" w:pos="900"/>
        <w:tab w:val="left" w:pos="1080"/>
        <w:tab w:val="left" w:pos="1260"/>
        <w:tab w:val="left" w:pos="1440"/>
        <w:tab w:val="left" w:pos="6120"/>
        <w:tab w:val="decimal" w:pos="6930"/>
        <w:tab w:val="decimal" w:pos="7380"/>
        <w:tab w:val="decimal" w:pos="8550"/>
        <w:tab w:val="decimal" w:pos="9000"/>
      </w:tabs>
      <w:overflowPunct w:val="0"/>
      <w:autoSpaceDE w:val="0"/>
      <w:autoSpaceDN w:val="0"/>
      <w:adjustRightInd w:val="0"/>
      <w:ind w:left="720" w:right="-18" w:hanging="720"/>
      <w:jc w:val="both"/>
      <w:textAlignment w:val="baseline"/>
    </w:pPr>
    <w:rPr>
      <w:rFonts w:ascii="Times" w:hAnsi="Times"/>
      <w:sz w:val="20"/>
      <w:szCs w:val="20"/>
      <w:lang w:eastAsia="en-US"/>
    </w:rPr>
  </w:style>
  <w:style w:type="paragraph" w:customStyle="1" w:styleId="V-1">
    <w:name w:val="V-1"/>
    <w:basedOn w:val="Normal"/>
    <w:rsid w:val="00395DBA"/>
    <w:pPr>
      <w:overflowPunct w:val="0"/>
      <w:autoSpaceDE w:val="0"/>
      <w:autoSpaceDN w:val="0"/>
      <w:adjustRightInd w:val="0"/>
      <w:ind w:left="560" w:right="42" w:hanging="560"/>
      <w:jc w:val="both"/>
      <w:textAlignment w:val="baseline"/>
    </w:pPr>
    <w:rPr>
      <w:rFonts w:ascii="Times" w:hAnsi="Times"/>
      <w:sz w:val="20"/>
      <w:szCs w:val="20"/>
      <w:lang w:eastAsia="en-US"/>
    </w:rPr>
  </w:style>
  <w:style w:type="paragraph" w:styleId="Encabezado">
    <w:name w:val="header"/>
    <w:basedOn w:val="Normal"/>
    <w:link w:val="EncabezadoCar"/>
    <w:uiPriority w:val="99"/>
    <w:rsid w:val="00395DBA"/>
    <w:pPr>
      <w:tabs>
        <w:tab w:val="center" w:pos="4252"/>
        <w:tab w:val="right" w:pos="8504"/>
      </w:tabs>
    </w:pPr>
  </w:style>
  <w:style w:type="character" w:customStyle="1" w:styleId="EncabezadoCar">
    <w:name w:val="Encabezado Car"/>
    <w:basedOn w:val="Fuentedeprrafopredeter"/>
    <w:link w:val="Encabezado"/>
    <w:uiPriority w:val="99"/>
    <w:rsid w:val="00395DB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395DBA"/>
    <w:pPr>
      <w:tabs>
        <w:tab w:val="center" w:pos="4252"/>
        <w:tab w:val="right" w:pos="8504"/>
      </w:tabs>
    </w:pPr>
  </w:style>
  <w:style w:type="character" w:customStyle="1" w:styleId="PiedepginaCar">
    <w:name w:val="Pie de página Car"/>
    <w:basedOn w:val="Fuentedeprrafopredeter"/>
    <w:link w:val="Piedepgina"/>
    <w:uiPriority w:val="99"/>
    <w:rsid w:val="00395DBA"/>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395DBA"/>
    <w:rPr>
      <w:rFonts w:ascii="Arial" w:hAnsi="Arial"/>
      <w:sz w:val="20"/>
      <w:lang w:val="es-EC" w:eastAsia="x-none"/>
    </w:rPr>
  </w:style>
  <w:style w:type="character" w:customStyle="1" w:styleId="Textoindependiente2Car">
    <w:name w:val="Texto independiente 2 Car"/>
    <w:basedOn w:val="Fuentedeprrafopredeter"/>
    <w:link w:val="Textoindependiente2"/>
    <w:rsid w:val="00395DBA"/>
    <w:rPr>
      <w:rFonts w:ascii="Arial" w:eastAsia="Times New Roman" w:hAnsi="Arial" w:cs="Times New Roman"/>
      <w:sz w:val="20"/>
      <w:szCs w:val="24"/>
      <w:lang w:eastAsia="x-none"/>
    </w:rPr>
  </w:style>
  <w:style w:type="paragraph" w:customStyle="1" w:styleId="Textodenotaalfinal">
    <w:name w:val="Texto de nota al final"/>
    <w:basedOn w:val="Normal"/>
    <w:rsid w:val="00395DBA"/>
    <w:pPr>
      <w:widowControl w:val="0"/>
    </w:pPr>
    <w:rPr>
      <w:rFonts w:ascii="Courier New" w:hAnsi="Courier New"/>
      <w:szCs w:val="20"/>
      <w:lang w:val="es-EC" w:eastAsia="es-EC"/>
    </w:rPr>
  </w:style>
  <w:style w:type="character" w:customStyle="1" w:styleId="MapadeldocumentoCar">
    <w:name w:val="Mapa del documento Car"/>
    <w:basedOn w:val="Fuentedeprrafopredeter"/>
    <w:link w:val="Mapadeldocumento"/>
    <w:semiHidden/>
    <w:rsid w:val="00395DBA"/>
    <w:rPr>
      <w:rFonts w:ascii="Tahoma" w:eastAsia="Times New Roman" w:hAnsi="Tahoma" w:cs="Times New Roman"/>
      <w:sz w:val="20"/>
      <w:szCs w:val="20"/>
      <w:shd w:val="clear" w:color="auto" w:fill="000080"/>
      <w:lang w:val="es-ES" w:eastAsia="es-ES"/>
    </w:rPr>
  </w:style>
  <w:style w:type="paragraph" w:styleId="Mapadeldocumento">
    <w:name w:val="Document Map"/>
    <w:basedOn w:val="Normal"/>
    <w:link w:val="MapadeldocumentoCar"/>
    <w:semiHidden/>
    <w:rsid w:val="00395DBA"/>
    <w:pPr>
      <w:shd w:val="clear" w:color="auto" w:fill="000080"/>
    </w:pPr>
    <w:rPr>
      <w:rFonts w:ascii="Tahoma" w:hAnsi="Tahoma"/>
      <w:sz w:val="20"/>
      <w:szCs w:val="20"/>
    </w:rPr>
  </w:style>
  <w:style w:type="character" w:customStyle="1" w:styleId="TextodegloboCar">
    <w:name w:val="Texto de globo Car"/>
    <w:basedOn w:val="Fuentedeprrafopredeter"/>
    <w:link w:val="Textodeglobo"/>
    <w:semiHidden/>
    <w:rsid w:val="00395DBA"/>
    <w:rPr>
      <w:rFonts w:ascii="Tahoma" w:eastAsia="Times New Roman" w:hAnsi="Tahoma" w:cs="Times New Roman"/>
      <w:sz w:val="16"/>
      <w:szCs w:val="16"/>
      <w:lang w:val="es-ES" w:eastAsia="es-ES"/>
    </w:rPr>
  </w:style>
  <w:style w:type="paragraph" w:styleId="Textodeglobo">
    <w:name w:val="Balloon Text"/>
    <w:basedOn w:val="Normal"/>
    <w:link w:val="TextodegloboCar"/>
    <w:semiHidden/>
    <w:rsid w:val="00395DBA"/>
    <w:rPr>
      <w:rFonts w:ascii="Tahoma" w:hAnsi="Tahoma"/>
      <w:sz w:val="16"/>
      <w:szCs w:val="16"/>
    </w:rPr>
  </w:style>
  <w:style w:type="paragraph" w:customStyle="1" w:styleId="Default">
    <w:name w:val="Default"/>
    <w:rsid w:val="00395DBA"/>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Textonotapie">
    <w:name w:val="footnote text"/>
    <w:basedOn w:val="Normal"/>
    <w:link w:val="TextonotapieCar"/>
    <w:rsid w:val="00395DBA"/>
    <w:rPr>
      <w:sz w:val="20"/>
      <w:szCs w:val="20"/>
    </w:rPr>
  </w:style>
  <w:style w:type="character" w:customStyle="1" w:styleId="TextonotapieCar">
    <w:name w:val="Texto nota pie Car"/>
    <w:basedOn w:val="Fuentedeprrafopredeter"/>
    <w:link w:val="Textonotapie"/>
    <w:rsid w:val="00395DBA"/>
    <w:rPr>
      <w:rFonts w:ascii="Times New Roman" w:eastAsia="Times New Roman" w:hAnsi="Times New Roman" w:cs="Times New Roman"/>
      <w:sz w:val="20"/>
      <w:szCs w:val="20"/>
      <w:lang w:val="es-ES" w:eastAsia="es-ES"/>
    </w:rPr>
  </w:style>
  <w:style w:type="character" w:styleId="Refdenotaalpie">
    <w:name w:val="footnote reference"/>
    <w:rsid w:val="00395DBA"/>
    <w:rPr>
      <w:vertAlign w:val="superscript"/>
    </w:rPr>
  </w:style>
  <w:style w:type="table" w:styleId="Tablaconcuadrcula">
    <w:name w:val="Table Grid"/>
    <w:basedOn w:val="Tablanormal"/>
    <w:uiPriority w:val="39"/>
    <w:rsid w:val="00395DBA"/>
    <w:pPr>
      <w:spacing w:after="0" w:line="240" w:lineRule="auto"/>
    </w:pPr>
    <w:rPr>
      <w:rFonts w:ascii="Times New Roman" w:eastAsia="Times New Roman" w:hAnsi="Times New Roman" w:cs="Times New Roman"/>
      <w:sz w:val="20"/>
      <w:szCs w:val="20"/>
      <w:lang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aliases w:val="EY EPM - Lista,EY - Lista,Tesis Título 1,FORMATO IMEEI,Viñeta,Cuadro 2-1,Párrafo de lista2,Párrafo de asunto,List Paragraph1,Lista 123,Nivel 3,List1,List bullet 1,Cuerpo propuesta,titulo 3,Bullets,Fluvial1,Ha,Normal. Viñetas,HOJA,Bolita"/>
    <w:basedOn w:val="Normal"/>
    <w:link w:val="PrrafodelistaCar"/>
    <w:uiPriority w:val="34"/>
    <w:qFormat/>
    <w:rsid w:val="00395DBA"/>
    <w:pPr>
      <w:spacing w:before="120" w:after="120"/>
      <w:ind w:left="720"/>
      <w:contextualSpacing/>
      <w:jc w:val="both"/>
    </w:pPr>
    <w:rPr>
      <w:lang w:val="es-EC"/>
    </w:rPr>
  </w:style>
  <w:style w:type="character" w:customStyle="1" w:styleId="PrrafodelistaCar">
    <w:name w:val="Párrafo de lista Car"/>
    <w:aliases w:val="EY EPM - Lista Car,EY - Lista Car,Tesis Título 1 Car,FORMATO IMEEI Car,Viñeta Car,Cuadro 2-1 Car,Párrafo de lista2 Car,Párrafo de asunto Car,List Paragraph1 Car,Lista 123 Car,Nivel 3 Car,List1 Car,List bullet 1 Car,titulo 3 Car"/>
    <w:link w:val="Prrafodelista"/>
    <w:uiPriority w:val="34"/>
    <w:rsid w:val="00395DBA"/>
    <w:rPr>
      <w:rFonts w:ascii="Times New Roman" w:eastAsia="Times New Roman" w:hAnsi="Times New Roman" w:cs="Times New Roman"/>
      <w:sz w:val="24"/>
      <w:szCs w:val="24"/>
      <w:lang w:eastAsia="es-ES"/>
    </w:rPr>
  </w:style>
  <w:style w:type="character" w:styleId="Refdecomentario">
    <w:name w:val="annotation reference"/>
    <w:rsid w:val="00395DBA"/>
    <w:rPr>
      <w:sz w:val="16"/>
      <w:szCs w:val="16"/>
    </w:rPr>
  </w:style>
  <w:style w:type="paragraph" w:styleId="Textocomentario">
    <w:name w:val="annotation text"/>
    <w:basedOn w:val="Normal"/>
    <w:link w:val="TextocomentarioCar"/>
    <w:rsid w:val="00395DBA"/>
    <w:rPr>
      <w:sz w:val="20"/>
      <w:szCs w:val="20"/>
    </w:rPr>
  </w:style>
  <w:style w:type="character" w:customStyle="1" w:styleId="TextocomentarioCar">
    <w:name w:val="Texto comentario Car"/>
    <w:basedOn w:val="Fuentedeprrafopredeter"/>
    <w:link w:val="Textocomentario"/>
    <w:rsid w:val="00395DBA"/>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395DBA"/>
    <w:rPr>
      <w:b/>
      <w:bCs/>
    </w:rPr>
  </w:style>
  <w:style w:type="character" w:customStyle="1" w:styleId="AsuntodelcomentarioCar">
    <w:name w:val="Asunto del comentario Car"/>
    <w:basedOn w:val="TextocomentarioCar"/>
    <w:link w:val="Asuntodelcomentario"/>
    <w:rsid w:val="00395DBA"/>
    <w:rPr>
      <w:rFonts w:ascii="Times New Roman" w:eastAsia="Times New Roman" w:hAnsi="Times New Roman" w:cs="Times New Roman"/>
      <w:b/>
      <w:bCs/>
      <w:sz w:val="20"/>
      <w:szCs w:val="20"/>
      <w:lang w:val="es-ES" w:eastAsia="es-ES"/>
    </w:rPr>
  </w:style>
  <w:style w:type="paragraph" w:customStyle="1" w:styleId="EYNormalTexto">
    <w:name w:val="EY Normal Texto"/>
    <w:basedOn w:val="Normal"/>
    <w:link w:val="EYNormalTextoChar"/>
    <w:uiPriority w:val="99"/>
    <w:rsid w:val="00395DBA"/>
    <w:pPr>
      <w:widowControl w:val="0"/>
      <w:adjustRightInd w:val="0"/>
      <w:spacing w:line="300" w:lineRule="exact"/>
      <w:jc w:val="both"/>
      <w:textAlignment w:val="baseline"/>
    </w:pPr>
    <w:rPr>
      <w:rFonts w:ascii="EYInterstate" w:hAnsi="EYInterstate"/>
      <w:sz w:val="18"/>
      <w:szCs w:val="18"/>
      <w:lang w:val="x-none"/>
    </w:rPr>
  </w:style>
  <w:style w:type="character" w:customStyle="1" w:styleId="EYNormalTextoChar">
    <w:name w:val="EY Normal Texto Char"/>
    <w:link w:val="EYNormalTexto"/>
    <w:uiPriority w:val="99"/>
    <w:rsid w:val="00395DBA"/>
    <w:rPr>
      <w:rFonts w:ascii="EYInterstate" w:eastAsia="Times New Roman" w:hAnsi="EYInterstate" w:cs="Times New Roman"/>
      <w:sz w:val="18"/>
      <w:szCs w:val="18"/>
      <w:lang w:val="x-none" w:eastAsia="es-ES"/>
    </w:rPr>
  </w:style>
  <w:style w:type="paragraph" w:customStyle="1" w:styleId="EYLineaSubTotal">
    <w:name w:val="EY Linea Sub Total"/>
    <w:basedOn w:val="EYNormalTexto"/>
    <w:link w:val="EYLineaSubTotalChar"/>
    <w:rsid w:val="00395DBA"/>
    <w:pPr>
      <w:spacing w:line="100" w:lineRule="exact"/>
    </w:pPr>
    <w:rPr>
      <w:position w:val="4"/>
    </w:rPr>
  </w:style>
  <w:style w:type="character" w:customStyle="1" w:styleId="EYLineaSubTotalChar">
    <w:name w:val="EY Linea Sub Total Char"/>
    <w:link w:val="EYLineaSubTotal"/>
    <w:rsid w:val="00395DBA"/>
    <w:rPr>
      <w:rFonts w:ascii="EYInterstate" w:eastAsia="Times New Roman" w:hAnsi="EYInterstate" w:cs="Times New Roman"/>
      <w:position w:val="4"/>
      <w:sz w:val="18"/>
      <w:szCs w:val="18"/>
      <w:lang w:val="x-none" w:eastAsia="es-ES"/>
    </w:rPr>
  </w:style>
  <w:style w:type="paragraph" w:customStyle="1" w:styleId="EYTituloColumna">
    <w:name w:val="EY Titulo Columna"/>
    <w:basedOn w:val="EYNormalTexto"/>
    <w:link w:val="EYTituloColumnaChar"/>
    <w:rsid w:val="00395DBA"/>
    <w:pPr>
      <w:spacing w:line="240" w:lineRule="exact"/>
      <w:jc w:val="center"/>
    </w:pPr>
    <w:rPr>
      <w:b/>
    </w:rPr>
  </w:style>
  <w:style w:type="character" w:customStyle="1" w:styleId="EYTituloColumnaChar">
    <w:name w:val="EY Titulo Columna Char"/>
    <w:link w:val="EYTituloColumna"/>
    <w:rsid w:val="00395DBA"/>
    <w:rPr>
      <w:rFonts w:ascii="EYInterstate" w:eastAsia="Times New Roman" w:hAnsi="EYInterstate" w:cs="Times New Roman"/>
      <w:b/>
      <w:sz w:val="18"/>
      <w:szCs w:val="18"/>
      <w:lang w:val="x-none" w:eastAsia="es-ES"/>
    </w:rPr>
  </w:style>
  <w:style w:type="paragraph" w:customStyle="1" w:styleId="TextePrinc">
    <w:name w:val="TextePrinc"/>
    <w:basedOn w:val="Normal"/>
    <w:uiPriority w:val="99"/>
    <w:rsid w:val="00395DBA"/>
    <w:pPr>
      <w:tabs>
        <w:tab w:val="left" w:pos="1413"/>
        <w:tab w:val="left" w:pos="2122"/>
        <w:tab w:val="left" w:pos="2832"/>
        <w:tab w:val="left" w:pos="3538"/>
        <w:tab w:val="left" w:pos="4248"/>
        <w:tab w:val="left" w:pos="4957"/>
        <w:tab w:val="left" w:pos="5661"/>
        <w:tab w:val="left" w:pos="6368"/>
        <w:tab w:val="left" w:pos="7077"/>
        <w:tab w:val="left" w:pos="7787"/>
        <w:tab w:val="left" w:pos="8496"/>
      </w:tabs>
      <w:overflowPunct w:val="0"/>
      <w:autoSpaceDE w:val="0"/>
      <w:autoSpaceDN w:val="0"/>
      <w:adjustRightInd w:val="0"/>
      <w:textAlignment w:val="baseline"/>
    </w:pPr>
    <w:rPr>
      <w:rFonts w:ascii="Arial" w:hAnsi="Arial"/>
      <w:noProof/>
      <w:color w:val="000000"/>
      <w:sz w:val="18"/>
      <w:szCs w:val="20"/>
    </w:rPr>
  </w:style>
  <w:style w:type="character" w:customStyle="1" w:styleId="Gras">
    <w:name w:val="Gras"/>
    <w:uiPriority w:val="99"/>
    <w:rsid w:val="00395DBA"/>
    <w:rPr>
      <w:rFonts w:ascii="Arial" w:hAnsi="Arial"/>
      <w:b/>
      <w:sz w:val="24"/>
    </w:rPr>
  </w:style>
  <w:style w:type="character" w:customStyle="1" w:styleId="Reenvio">
    <w:name w:val="Reenvio"/>
    <w:uiPriority w:val="99"/>
    <w:rsid w:val="00395DBA"/>
  </w:style>
  <w:style w:type="character" w:customStyle="1" w:styleId="Rango">
    <w:name w:val="Rango"/>
    <w:uiPriority w:val="99"/>
    <w:rsid w:val="00395DBA"/>
  </w:style>
  <w:style w:type="paragraph" w:styleId="NormalWeb">
    <w:name w:val="Normal (Web)"/>
    <w:basedOn w:val="Normal"/>
    <w:uiPriority w:val="99"/>
    <w:unhideWhenUsed/>
    <w:rsid w:val="00395DBA"/>
    <w:pPr>
      <w:spacing w:before="100" w:beforeAutospacing="1" w:after="100" w:afterAutospacing="1"/>
    </w:pPr>
    <w:rPr>
      <w:lang w:val="en-US" w:eastAsia="en-US"/>
    </w:rPr>
  </w:style>
  <w:style w:type="paragraph" w:customStyle="1" w:styleId="Standardbodyheading">
    <w:name w:val="Standardbody_heading"/>
    <w:rsid w:val="00395DBA"/>
    <w:pPr>
      <w:keepNext/>
      <w:pageBreakBefore/>
      <w:suppressAutoHyphens/>
      <w:autoSpaceDE w:val="0"/>
      <w:autoSpaceDN w:val="0"/>
      <w:adjustRightInd w:val="0"/>
      <w:snapToGrid w:val="0"/>
      <w:spacing w:after="0" w:line="280" w:lineRule="atLeast"/>
    </w:pPr>
    <w:rPr>
      <w:rFonts w:ascii="Arial" w:eastAsia="Times New Roman" w:hAnsi="Arial" w:cs="Arial"/>
      <w:b/>
      <w:bCs/>
      <w:color w:val="000000"/>
      <w:w w:val="1"/>
      <w:sz w:val="24"/>
      <w:szCs w:val="24"/>
      <w:lang w:val="en-GB" w:eastAsia="es-ES"/>
    </w:rPr>
  </w:style>
  <w:style w:type="character" w:customStyle="1" w:styleId="hps">
    <w:name w:val="hps"/>
    <w:rsid w:val="00395DBA"/>
  </w:style>
  <w:style w:type="paragraph" w:customStyle="1" w:styleId="loweralpha1level1">
    <w:name w:val="lower_alpha1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romanlevel2">
    <w:name w:val="lower_roman_level2"/>
    <w:rsid w:val="00395DBA"/>
    <w:pPr>
      <w:tabs>
        <w:tab w:val="left" w:pos="420"/>
        <w:tab w:val="left" w:pos="840"/>
      </w:tabs>
      <w:suppressAutoHyphens/>
      <w:autoSpaceDE w:val="0"/>
      <w:autoSpaceDN w:val="0"/>
      <w:adjustRightInd w:val="0"/>
      <w:spacing w:after="120" w:line="200" w:lineRule="atLeast"/>
      <w:ind w:left="840" w:hanging="84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alphalevel1">
    <w:name w:val="lower_alpha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styleId="Sinespaciado">
    <w:name w:val="No Spacing"/>
    <w:link w:val="SinespaciadoCar"/>
    <w:uiPriority w:val="1"/>
    <w:qFormat/>
    <w:rsid w:val="00395DBA"/>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395DBA"/>
    <w:rPr>
      <w:rFonts w:ascii="Calibri" w:eastAsia="Times New Roman" w:hAnsi="Calibri" w:cs="Times New Roman"/>
      <w:lang w:val="es-ES"/>
    </w:rPr>
  </w:style>
  <w:style w:type="paragraph" w:customStyle="1" w:styleId="Bodycopy">
    <w:name w:val="Body copy"/>
    <w:rsid w:val="00395DBA"/>
    <w:pPr>
      <w:spacing w:before="20" w:after="0" w:line="210" w:lineRule="exact"/>
    </w:pPr>
    <w:rPr>
      <w:rFonts w:ascii="Arial" w:eastAsia="PMingLiU" w:hAnsi="Arial" w:cs="Arial"/>
      <w:color w:val="000000"/>
      <w:sz w:val="17"/>
      <w:szCs w:val="17"/>
      <w:lang w:val="en-US"/>
    </w:rPr>
  </w:style>
  <w:style w:type="paragraph" w:customStyle="1" w:styleId="bodycopyindent">
    <w:name w:val="body copy indent"/>
    <w:basedOn w:val="Normal"/>
    <w:rsid w:val="00395DBA"/>
    <w:pPr>
      <w:spacing w:before="20" w:line="210" w:lineRule="exact"/>
      <w:ind w:left="510"/>
    </w:pPr>
    <w:rPr>
      <w:rFonts w:ascii="Arial" w:eastAsia="PMingLiU" w:hAnsi="Arial" w:cs="Arial"/>
      <w:color w:val="000000"/>
      <w:sz w:val="17"/>
      <w:szCs w:val="17"/>
      <w:lang w:val="en-AU" w:eastAsia="en-US"/>
    </w:rPr>
  </w:style>
  <w:style w:type="paragraph" w:customStyle="1" w:styleId="sourceref">
    <w:name w:val="source ref"/>
    <w:basedOn w:val="Normal"/>
    <w:rsid w:val="00395DBA"/>
    <w:pPr>
      <w:spacing w:before="40" w:line="190" w:lineRule="exact"/>
    </w:pPr>
    <w:rPr>
      <w:rFonts w:ascii="Arial" w:eastAsia="PMingLiU" w:hAnsi="Arial" w:cs="Courier New"/>
      <w:color w:val="003399"/>
      <w:sz w:val="15"/>
      <w:szCs w:val="15"/>
      <w:lang w:val="en-AU" w:eastAsia="en-US"/>
    </w:rPr>
  </w:style>
  <w:style w:type="paragraph" w:customStyle="1" w:styleId="Bodycopyhanging">
    <w:name w:val="Body copy hanging"/>
    <w:basedOn w:val="Bodycopy"/>
    <w:rsid w:val="00395DBA"/>
    <w:pPr>
      <w:ind w:left="510" w:hanging="510"/>
    </w:pPr>
    <w:rPr>
      <w:lang w:val="en-AU"/>
    </w:rPr>
  </w:style>
  <w:style w:type="paragraph" w:styleId="Sangra2detindependiente">
    <w:name w:val="Body Text Indent 2"/>
    <w:basedOn w:val="Normal"/>
    <w:link w:val="Sangra2detindependienteCar"/>
    <w:unhideWhenUsed/>
    <w:rsid w:val="00395DBA"/>
    <w:pPr>
      <w:spacing w:after="120" w:line="480" w:lineRule="auto"/>
      <w:ind w:left="283"/>
    </w:pPr>
    <w:rPr>
      <w:rFonts w:eastAsia="Batang"/>
      <w:sz w:val="20"/>
      <w:szCs w:val="20"/>
      <w:lang w:val="es-ES_tradnl" w:eastAsia="x-none"/>
    </w:rPr>
  </w:style>
  <w:style w:type="character" w:customStyle="1" w:styleId="Sangra2detindependienteCar">
    <w:name w:val="Sangría 2 de t. independiente Car"/>
    <w:basedOn w:val="Fuentedeprrafopredeter"/>
    <w:link w:val="Sangra2detindependiente"/>
    <w:rsid w:val="00395DBA"/>
    <w:rPr>
      <w:rFonts w:ascii="Times New Roman" w:eastAsia="Batang" w:hAnsi="Times New Roman" w:cs="Times New Roman"/>
      <w:sz w:val="20"/>
      <w:szCs w:val="20"/>
      <w:lang w:val="es-ES_tradnl" w:eastAsia="x-none"/>
    </w:rPr>
  </w:style>
  <w:style w:type="character" w:customStyle="1" w:styleId="Cuerpodeltexto">
    <w:name w:val="Cuerpo del texto_"/>
    <w:link w:val="Cuerpodeltexto0"/>
    <w:rsid w:val="00395DBA"/>
    <w:rPr>
      <w:spacing w:val="4"/>
      <w:sz w:val="15"/>
      <w:szCs w:val="15"/>
      <w:shd w:val="clear" w:color="auto" w:fill="FFFFFF"/>
    </w:rPr>
  </w:style>
  <w:style w:type="paragraph" w:customStyle="1" w:styleId="Cuerpodeltexto0">
    <w:name w:val="Cuerpo del texto"/>
    <w:basedOn w:val="Normal"/>
    <w:link w:val="Cuerpodeltexto"/>
    <w:rsid w:val="00395DBA"/>
    <w:pPr>
      <w:widowControl w:val="0"/>
      <w:shd w:val="clear" w:color="auto" w:fill="FFFFFF"/>
      <w:spacing w:before="540" w:after="540" w:line="0" w:lineRule="atLeast"/>
      <w:jc w:val="both"/>
    </w:pPr>
    <w:rPr>
      <w:rFonts w:asciiTheme="minorHAnsi" w:eastAsiaTheme="minorHAnsi" w:hAnsiTheme="minorHAnsi" w:cstheme="minorBidi"/>
      <w:spacing w:val="4"/>
      <w:sz w:val="15"/>
      <w:szCs w:val="15"/>
      <w:lang w:val="es-EC" w:eastAsia="en-US"/>
    </w:rPr>
  </w:style>
  <w:style w:type="character" w:styleId="Nmerodepgina">
    <w:name w:val="page number"/>
    <w:rsid w:val="00395DBA"/>
  </w:style>
  <w:style w:type="paragraph" w:styleId="Textoindependiente3">
    <w:name w:val="Body Text 3"/>
    <w:basedOn w:val="Normal"/>
    <w:link w:val="Textoindependiente3Car"/>
    <w:rsid w:val="00395DBA"/>
    <w:pPr>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pPr>
    <w:rPr>
      <w:rFonts w:ascii="ZapfHumnst BT" w:eastAsia="Batang" w:hAnsi="ZapfHumnst BT"/>
      <w:color w:val="FF0000"/>
      <w:spacing w:val="-2"/>
      <w:sz w:val="22"/>
      <w:szCs w:val="20"/>
      <w:lang w:val="es-ES_tradnl" w:eastAsia="x-none"/>
    </w:rPr>
  </w:style>
  <w:style w:type="character" w:customStyle="1" w:styleId="Textoindependiente3Car">
    <w:name w:val="Texto independiente 3 Car"/>
    <w:basedOn w:val="Fuentedeprrafopredeter"/>
    <w:link w:val="Textoindependiente3"/>
    <w:rsid w:val="00395DBA"/>
    <w:rPr>
      <w:rFonts w:ascii="ZapfHumnst BT" w:eastAsia="Batang" w:hAnsi="ZapfHumnst BT" w:cs="Times New Roman"/>
      <w:color w:val="FF0000"/>
      <w:spacing w:val="-2"/>
      <w:szCs w:val="20"/>
      <w:lang w:val="es-ES_tradnl" w:eastAsia="x-none"/>
    </w:rPr>
  </w:style>
  <w:style w:type="character" w:styleId="Textoennegrita">
    <w:name w:val="Strong"/>
    <w:qFormat/>
    <w:rsid w:val="00395DBA"/>
    <w:rPr>
      <w:b/>
    </w:rPr>
  </w:style>
  <w:style w:type="paragraph" w:styleId="Descripcin">
    <w:name w:val="caption"/>
    <w:basedOn w:val="Normal"/>
    <w:next w:val="Normal"/>
    <w:qFormat/>
    <w:rsid w:val="00395DBA"/>
    <w:rPr>
      <w:rFonts w:eastAsia="Batang"/>
      <w:b/>
      <w:sz w:val="20"/>
      <w:szCs w:val="20"/>
      <w:lang w:eastAsia="es-EC"/>
    </w:rPr>
  </w:style>
  <w:style w:type="paragraph" w:customStyle="1" w:styleId="Estilo">
    <w:name w:val="Estilo"/>
    <w:rsid w:val="00395DBA"/>
    <w:pPr>
      <w:widowControl w:val="0"/>
      <w:autoSpaceDE w:val="0"/>
      <w:autoSpaceDN w:val="0"/>
      <w:adjustRightInd w:val="0"/>
      <w:spacing w:after="0" w:line="240" w:lineRule="auto"/>
    </w:pPr>
    <w:rPr>
      <w:rFonts w:ascii="Arial" w:eastAsia="Batang" w:hAnsi="Arial" w:cs="Arial"/>
      <w:sz w:val="24"/>
      <w:szCs w:val="24"/>
      <w:lang w:val="es-ES" w:eastAsia="es-ES"/>
    </w:rPr>
  </w:style>
  <w:style w:type="paragraph" w:customStyle="1" w:styleId="Bodycopyindentbullet">
    <w:name w:val="Body copy indent bullet"/>
    <w:rsid w:val="00395DBA"/>
    <w:pPr>
      <w:tabs>
        <w:tab w:val="num" w:pos="1021"/>
      </w:tabs>
      <w:spacing w:before="20" w:after="0" w:line="210" w:lineRule="exact"/>
      <w:ind w:left="1021" w:hanging="511"/>
    </w:pPr>
    <w:rPr>
      <w:rFonts w:ascii="Arial" w:eastAsia="PMingLiU" w:hAnsi="Arial" w:cs="Arial"/>
      <w:color w:val="000000"/>
      <w:sz w:val="17"/>
      <w:szCs w:val="17"/>
      <w:lang w:val="en-AU" w:eastAsia="zh-CN"/>
    </w:rPr>
  </w:style>
  <w:style w:type="character" w:styleId="Hipervnculo">
    <w:name w:val="Hyperlink"/>
    <w:rsid w:val="00395DBA"/>
    <w:rPr>
      <w:color w:val="0000FF"/>
      <w:u w:val="single"/>
    </w:rPr>
  </w:style>
  <w:style w:type="paragraph" w:styleId="Subttulo">
    <w:name w:val="Subtitle"/>
    <w:basedOn w:val="Normal"/>
    <w:next w:val="Normal"/>
    <w:link w:val="SubttuloCar"/>
    <w:qFormat/>
    <w:rsid w:val="00395DBA"/>
    <w:pPr>
      <w:spacing w:after="60"/>
      <w:jc w:val="center"/>
      <w:outlineLvl w:val="1"/>
    </w:pPr>
    <w:rPr>
      <w:rFonts w:ascii="Cambria" w:hAnsi="Cambria"/>
      <w:lang w:val="es-ES_tradnl" w:eastAsia="x-none"/>
    </w:rPr>
  </w:style>
  <w:style w:type="character" w:customStyle="1" w:styleId="SubttuloCar">
    <w:name w:val="Subtítulo Car"/>
    <w:basedOn w:val="Fuentedeprrafopredeter"/>
    <w:link w:val="Subttulo"/>
    <w:rsid w:val="00395DBA"/>
    <w:rPr>
      <w:rFonts w:ascii="Cambria" w:eastAsia="Times New Roman" w:hAnsi="Cambria" w:cs="Times New Roman"/>
      <w:sz w:val="24"/>
      <w:szCs w:val="24"/>
      <w:lang w:val="es-ES_tradnl" w:eastAsia="x-none"/>
    </w:rPr>
  </w:style>
  <w:style w:type="paragraph" w:styleId="Textonotaalfinal">
    <w:name w:val="endnote text"/>
    <w:basedOn w:val="Normal"/>
    <w:link w:val="TextonotaalfinalCar"/>
    <w:rsid w:val="00395DBA"/>
    <w:rPr>
      <w:rFonts w:eastAsia="Batang"/>
      <w:sz w:val="20"/>
      <w:szCs w:val="20"/>
      <w:lang w:val="es-ES_tradnl" w:eastAsia="x-none"/>
    </w:rPr>
  </w:style>
  <w:style w:type="character" w:customStyle="1" w:styleId="TextonotaalfinalCar">
    <w:name w:val="Texto nota al final Car"/>
    <w:basedOn w:val="Fuentedeprrafopredeter"/>
    <w:link w:val="Textonotaalfinal"/>
    <w:rsid w:val="00395DBA"/>
    <w:rPr>
      <w:rFonts w:ascii="Times New Roman" w:eastAsia="Batang" w:hAnsi="Times New Roman" w:cs="Times New Roman"/>
      <w:sz w:val="20"/>
      <w:szCs w:val="20"/>
      <w:lang w:val="es-ES_tradnl" w:eastAsia="x-none"/>
    </w:rPr>
  </w:style>
  <w:style w:type="character" w:styleId="Refdenotaalfinal">
    <w:name w:val="endnote reference"/>
    <w:rsid w:val="00395DBA"/>
    <w:rPr>
      <w:vertAlign w:val="superscript"/>
    </w:rPr>
  </w:style>
  <w:style w:type="paragraph" w:customStyle="1" w:styleId="Sangra2detindependiente3">
    <w:name w:val="Sangría 2 de t.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Normal12pt">
    <w:name w:val="Normal + 12 pt"/>
    <w:basedOn w:val="Normal"/>
    <w:link w:val="Normal12ptCar"/>
    <w:rsid w:val="00395DBA"/>
    <w:pPr>
      <w:widowControl w:val="0"/>
      <w:ind w:left="567" w:right="18"/>
      <w:jc w:val="both"/>
    </w:pPr>
    <w:rPr>
      <w:sz w:val="20"/>
      <w:szCs w:val="20"/>
      <w:lang w:val="x-none"/>
    </w:rPr>
  </w:style>
  <w:style w:type="character" w:customStyle="1" w:styleId="Normal12ptCar">
    <w:name w:val="Normal + 12 pt Car"/>
    <w:link w:val="Normal12pt"/>
    <w:locked/>
    <w:rsid w:val="00395DBA"/>
    <w:rPr>
      <w:rFonts w:ascii="Times New Roman" w:eastAsia="Times New Roman" w:hAnsi="Times New Roman" w:cs="Times New Roman"/>
      <w:sz w:val="20"/>
      <w:szCs w:val="20"/>
      <w:lang w:val="x-none" w:eastAsia="es-ES"/>
    </w:rPr>
  </w:style>
  <w:style w:type="paragraph" w:customStyle="1" w:styleId="Sangra2detindependiente30">
    <w:name w:val="Sangría 2 de t. 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AANormalTextoNotasletras">
    <w:name w:val="AA Normal Texto Notas letras"/>
    <w:basedOn w:val="Normal"/>
    <w:uiPriority w:val="99"/>
    <w:rsid w:val="00395DBA"/>
    <w:pPr>
      <w:spacing w:line="300" w:lineRule="exact"/>
      <w:ind w:left="3828" w:hanging="539"/>
    </w:pPr>
    <w:rPr>
      <w:rFonts w:ascii="Arial" w:hAnsi="Arial"/>
      <w:sz w:val="19"/>
      <w:szCs w:val="20"/>
      <w:lang w:eastAsia="en-US"/>
    </w:rPr>
  </w:style>
  <w:style w:type="paragraph" w:customStyle="1" w:styleId="AALneaSubTotal">
    <w:name w:val="AA Línea SubTotal"/>
    <w:basedOn w:val="Normal"/>
    <w:rsid w:val="00395DBA"/>
    <w:pPr>
      <w:spacing w:line="100" w:lineRule="exact"/>
    </w:pPr>
    <w:rPr>
      <w:rFonts w:ascii="Book Antiqua" w:hAnsi="Book Antiqua"/>
      <w:b/>
      <w:position w:val="4"/>
      <w:sz w:val="18"/>
      <w:szCs w:val="20"/>
      <w:lang w:val="es-ES_tradnl" w:eastAsia="en-US"/>
    </w:rPr>
  </w:style>
  <w:style w:type="paragraph" w:customStyle="1" w:styleId="AANormalTextoNotasprrafo">
    <w:name w:val="AA Normal Texto Notas párrafo"/>
    <w:basedOn w:val="AANormalTextoNotasTtulos"/>
    <w:rsid w:val="00395DBA"/>
    <w:pPr>
      <w:ind w:left="3260" w:firstLine="0"/>
    </w:pPr>
    <w:rPr>
      <w:b w:val="0"/>
    </w:rPr>
  </w:style>
  <w:style w:type="paragraph" w:customStyle="1" w:styleId="AANormalTextoNotasTtulos">
    <w:name w:val="AA Normal Texto Notas Títulos"/>
    <w:basedOn w:val="Normal"/>
    <w:rsid w:val="00395DBA"/>
    <w:pPr>
      <w:spacing w:line="300" w:lineRule="exact"/>
      <w:ind w:left="3261" w:hanging="539"/>
    </w:pPr>
    <w:rPr>
      <w:rFonts w:ascii="Arial" w:hAnsi="Arial"/>
      <w:b/>
      <w:sz w:val="18"/>
      <w:szCs w:val="20"/>
      <w:lang w:val="es-ES_tradnl" w:eastAsia="en-US"/>
    </w:rPr>
  </w:style>
  <w:style w:type="paragraph" w:customStyle="1" w:styleId="EYNormalNotasLetras">
    <w:name w:val="EY Normal Notas Letras"/>
    <w:basedOn w:val="Normal"/>
    <w:link w:val="EYNormalNotasLetrasChar"/>
    <w:qFormat/>
    <w:rsid w:val="00395DBA"/>
    <w:pPr>
      <w:spacing w:line="300" w:lineRule="exact"/>
      <w:ind w:left="1134" w:hanging="567"/>
    </w:pPr>
    <w:rPr>
      <w:rFonts w:ascii="EYInterstate" w:hAnsi="EYInterstate"/>
      <w:sz w:val="18"/>
      <w:szCs w:val="18"/>
      <w:lang w:val="en-US"/>
    </w:rPr>
  </w:style>
  <w:style w:type="character" w:customStyle="1" w:styleId="EYNormalNotasLetrasChar">
    <w:name w:val="EY Normal Notas Letras Char"/>
    <w:link w:val="EYNormalNotasLetras"/>
    <w:locked/>
    <w:rsid w:val="00395DBA"/>
    <w:rPr>
      <w:rFonts w:ascii="EYInterstate" w:eastAsia="Times New Roman" w:hAnsi="EYInterstate" w:cs="Times New Roman"/>
      <w:sz w:val="18"/>
      <w:szCs w:val="18"/>
      <w:lang w:val="en-US" w:eastAsia="es-ES"/>
    </w:rPr>
  </w:style>
  <w:style w:type="character" w:customStyle="1" w:styleId="Cuerpodeltexto2">
    <w:name w:val="Cuerpo del texto (2)_"/>
    <w:basedOn w:val="Fuentedeprrafopredeter"/>
    <w:link w:val="Cuerpodeltexto20"/>
    <w:rsid w:val="00DE5BF4"/>
    <w:rPr>
      <w:rFonts w:ascii="Arial" w:eastAsia="Arial" w:hAnsi="Arial" w:cs="Arial"/>
      <w:sz w:val="16"/>
      <w:szCs w:val="16"/>
      <w:shd w:val="clear" w:color="auto" w:fill="FFFFFF"/>
    </w:rPr>
  </w:style>
  <w:style w:type="paragraph" w:customStyle="1" w:styleId="Cuerpodeltexto20">
    <w:name w:val="Cuerpo del texto (2)"/>
    <w:basedOn w:val="Normal"/>
    <w:link w:val="Cuerpodeltexto2"/>
    <w:rsid w:val="00DE5BF4"/>
    <w:pPr>
      <w:widowControl w:val="0"/>
      <w:shd w:val="clear" w:color="auto" w:fill="FFFFFF"/>
      <w:spacing w:line="278" w:lineRule="exact"/>
      <w:ind w:hanging="380"/>
    </w:pPr>
    <w:rPr>
      <w:rFonts w:ascii="Arial" w:eastAsia="Arial" w:hAnsi="Arial" w:cs="Arial"/>
      <w:sz w:val="16"/>
      <w:szCs w:val="16"/>
      <w:lang w:val="es-EC" w:eastAsia="en-US"/>
    </w:rPr>
  </w:style>
  <w:style w:type="character" w:customStyle="1" w:styleId="Cuerpodeltexto7">
    <w:name w:val="Cuerpo del texto (7)_"/>
    <w:basedOn w:val="Fuentedeprrafopredeter"/>
    <w:rsid w:val="00DE5BF4"/>
    <w:rPr>
      <w:rFonts w:ascii="Arial" w:eastAsia="Arial" w:hAnsi="Arial" w:cs="Arial"/>
      <w:b/>
      <w:bCs/>
      <w:i w:val="0"/>
      <w:iCs w:val="0"/>
      <w:smallCaps w:val="0"/>
      <w:strike w:val="0"/>
      <w:sz w:val="16"/>
      <w:szCs w:val="16"/>
      <w:u w:val="none"/>
    </w:rPr>
  </w:style>
  <w:style w:type="character" w:customStyle="1" w:styleId="Cuerpodeltexto70">
    <w:name w:val="Cuerpo del texto (7)"/>
    <w:basedOn w:val="Cuerpodeltexto7"/>
    <w:rsid w:val="00DE5BF4"/>
    <w:rPr>
      <w:rFonts w:ascii="Arial" w:eastAsia="Arial" w:hAnsi="Arial" w:cs="Arial"/>
      <w:b/>
      <w:bCs/>
      <w:i w:val="0"/>
      <w:iCs w:val="0"/>
      <w:smallCaps w:val="0"/>
      <w:strike w:val="0"/>
      <w:color w:val="000000"/>
      <w:spacing w:val="0"/>
      <w:w w:val="100"/>
      <w:position w:val="0"/>
      <w:sz w:val="16"/>
      <w:szCs w:val="16"/>
      <w:u w:val="single"/>
      <w:lang w:val="es-ES" w:eastAsia="es-ES" w:bidi="es-ES"/>
    </w:rPr>
  </w:style>
  <w:style w:type="character" w:customStyle="1" w:styleId="Cuerpodeltexto27pto">
    <w:name w:val="Cuerpo del texto (2) + 7 pto"/>
    <w:basedOn w:val="Cuerpodeltexto2"/>
    <w:rsid w:val="0056078C"/>
    <w:rPr>
      <w:rFonts w:ascii="Arial" w:eastAsia="Arial" w:hAnsi="Arial" w:cs="Arial"/>
      <w:b w:val="0"/>
      <w:bCs w:val="0"/>
      <w:i w:val="0"/>
      <w:iCs w:val="0"/>
      <w:smallCaps w:val="0"/>
      <w:strike w:val="0"/>
      <w:color w:val="000000"/>
      <w:spacing w:val="0"/>
      <w:w w:val="100"/>
      <w:position w:val="0"/>
      <w:sz w:val="14"/>
      <w:szCs w:val="14"/>
      <w:u w:val="none"/>
      <w:shd w:val="clear" w:color="auto" w:fill="FFFFFF"/>
      <w:lang w:val="es-ES" w:eastAsia="es-ES" w:bidi="es-ES"/>
    </w:rPr>
  </w:style>
  <w:style w:type="character" w:customStyle="1" w:styleId="Ttulo40">
    <w:name w:val="Título #4_"/>
    <w:basedOn w:val="Fuentedeprrafopredeter"/>
    <w:link w:val="Ttulo41"/>
    <w:rsid w:val="003114A7"/>
    <w:rPr>
      <w:rFonts w:ascii="Arial" w:eastAsia="Arial" w:hAnsi="Arial" w:cs="Arial"/>
      <w:b/>
      <w:bCs/>
      <w:sz w:val="16"/>
      <w:szCs w:val="16"/>
      <w:shd w:val="clear" w:color="auto" w:fill="FFFFFF"/>
    </w:rPr>
  </w:style>
  <w:style w:type="character" w:customStyle="1" w:styleId="Cuerpodeltexto2Cursiva">
    <w:name w:val="Cuerpo del texto (2) + Cursiva"/>
    <w:basedOn w:val="Cuerpodeltexto2"/>
    <w:rsid w:val="003114A7"/>
    <w:rPr>
      <w:rFonts w:ascii="Arial" w:eastAsia="Arial" w:hAnsi="Arial" w:cs="Arial"/>
      <w:b w:val="0"/>
      <w:bCs w:val="0"/>
      <w:i/>
      <w:iCs/>
      <w:smallCaps w:val="0"/>
      <w:strike w:val="0"/>
      <w:color w:val="000000"/>
      <w:spacing w:val="0"/>
      <w:w w:val="100"/>
      <w:position w:val="0"/>
      <w:sz w:val="16"/>
      <w:szCs w:val="16"/>
      <w:u w:val="none"/>
      <w:shd w:val="clear" w:color="auto" w:fill="FFFFFF"/>
      <w:lang w:val="es-ES" w:eastAsia="es-ES" w:bidi="es-ES"/>
    </w:rPr>
  </w:style>
  <w:style w:type="character" w:customStyle="1" w:styleId="Cuerpodeltexto12">
    <w:name w:val="Cuerpo del texto (12)_"/>
    <w:basedOn w:val="Fuentedeprrafopredeter"/>
    <w:rsid w:val="003114A7"/>
    <w:rPr>
      <w:rFonts w:ascii="Arial" w:eastAsia="Arial" w:hAnsi="Arial" w:cs="Arial"/>
      <w:b w:val="0"/>
      <w:bCs w:val="0"/>
      <w:i/>
      <w:iCs/>
      <w:smallCaps w:val="0"/>
      <w:strike w:val="0"/>
      <w:sz w:val="16"/>
      <w:szCs w:val="16"/>
      <w:u w:val="none"/>
    </w:rPr>
  </w:style>
  <w:style w:type="character" w:customStyle="1" w:styleId="Cuerpodeltexto120">
    <w:name w:val="Cuerpo del texto (12)"/>
    <w:basedOn w:val="Cuerpodeltexto12"/>
    <w:rsid w:val="003114A7"/>
    <w:rPr>
      <w:rFonts w:ascii="Arial" w:eastAsia="Arial" w:hAnsi="Arial" w:cs="Arial"/>
      <w:b w:val="0"/>
      <w:bCs w:val="0"/>
      <w:i/>
      <w:iCs/>
      <w:smallCaps w:val="0"/>
      <w:strike w:val="0"/>
      <w:color w:val="000000"/>
      <w:spacing w:val="0"/>
      <w:w w:val="100"/>
      <w:position w:val="0"/>
      <w:sz w:val="16"/>
      <w:szCs w:val="16"/>
      <w:u w:val="single"/>
      <w:lang w:val="es-ES" w:eastAsia="es-ES" w:bidi="es-ES"/>
    </w:rPr>
  </w:style>
  <w:style w:type="character" w:customStyle="1" w:styleId="Cuerpodeltexto13">
    <w:name w:val="Cuerpo del texto (13)_"/>
    <w:basedOn w:val="Fuentedeprrafopredeter"/>
    <w:link w:val="Cuerpodeltexto130"/>
    <w:rsid w:val="003114A7"/>
    <w:rPr>
      <w:rFonts w:ascii="Arial" w:eastAsia="Arial" w:hAnsi="Arial" w:cs="Arial"/>
      <w:b/>
      <w:bCs/>
      <w:i/>
      <w:iCs/>
      <w:sz w:val="16"/>
      <w:szCs w:val="16"/>
      <w:shd w:val="clear" w:color="auto" w:fill="FFFFFF"/>
    </w:rPr>
  </w:style>
  <w:style w:type="character" w:customStyle="1" w:styleId="Cuerpodeltexto13AngsanaUPC">
    <w:name w:val="Cuerpo del texto (13) + AngsanaUPC"/>
    <w:aliases w:val="13 pto,Sin cursiva,Espaciado 0 pto"/>
    <w:basedOn w:val="Cuerpodeltexto13"/>
    <w:rsid w:val="003114A7"/>
    <w:rPr>
      <w:rFonts w:ascii="AngsanaUPC" w:eastAsia="AngsanaUPC" w:hAnsi="AngsanaUPC" w:cs="AngsanaUPC"/>
      <w:b/>
      <w:bCs/>
      <w:i/>
      <w:iCs/>
      <w:color w:val="000000"/>
      <w:spacing w:val="-10"/>
      <w:w w:val="100"/>
      <w:position w:val="0"/>
      <w:sz w:val="26"/>
      <w:szCs w:val="26"/>
      <w:shd w:val="clear" w:color="auto" w:fill="FFFFFF"/>
      <w:lang w:val="es-ES" w:eastAsia="es-ES" w:bidi="es-ES"/>
    </w:rPr>
  </w:style>
  <w:style w:type="paragraph" w:customStyle="1" w:styleId="Ttulo41">
    <w:name w:val="Título #4"/>
    <w:basedOn w:val="Normal"/>
    <w:link w:val="Ttulo40"/>
    <w:rsid w:val="003114A7"/>
    <w:pPr>
      <w:widowControl w:val="0"/>
      <w:shd w:val="clear" w:color="auto" w:fill="FFFFFF"/>
      <w:spacing w:line="0" w:lineRule="atLeast"/>
      <w:ind w:hanging="360"/>
      <w:outlineLvl w:val="3"/>
    </w:pPr>
    <w:rPr>
      <w:rFonts w:ascii="Arial" w:eastAsia="Arial" w:hAnsi="Arial" w:cs="Arial"/>
      <w:b/>
      <w:bCs/>
      <w:sz w:val="16"/>
      <w:szCs w:val="16"/>
      <w:lang w:val="es-EC" w:eastAsia="en-US"/>
    </w:rPr>
  </w:style>
  <w:style w:type="paragraph" w:customStyle="1" w:styleId="Cuerpodeltexto130">
    <w:name w:val="Cuerpo del texto (13)"/>
    <w:basedOn w:val="Normal"/>
    <w:link w:val="Cuerpodeltexto13"/>
    <w:rsid w:val="003114A7"/>
    <w:pPr>
      <w:widowControl w:val="0"/>
      <w:shd w:val="clear" w:color="auto" w:fill="FFFFFF"/>
      <w:spacing w:line="0" w:lineRule="atLeast"/>
    </w:pPr>
    <w:rPr>
      <w:rFonts w:ascii="Arial" w:eastAsia="Arial" w:hAnsi="Arial" w:cs="Arial"/>
      <w:b/>
      <w:bCs/>
      <w:i/>
      <w:iCs/>
      <w:sz w:val="16"/>
      <w:szCs w:val="16"/>
      <w:lang w:val="es-EC" w:eastAsia="en-US"/>
    </w:rPr>
  </w:style>
  <w:style w:type="character" w:customStyle="1" w:styleId="Notaalpie">
    <w:name w:val="Nota al pie_"/>
    <w:basedOn w:val="Fuentedeprrafopredeter"/>
    <w:link w:val="Notaalpie0"/>
    <w:rsid w:val="000A1E52"/>
    <w:rPr>
      <w:rFonts w:ascii="Arial" w:eastAsia="Arial" w:hAnsi="Arial" w:cs="Arial"/>
      <w:sz w:val="16"/>
      <w:szCs w:val="16"/>
      <w:shd w:val="clear" w:color="auto" w:fill="FFFFFF"/>
    </w:rPr>
  </w:style>
  <w:style w:type="character" w:customStyle="1" w:styleId="Cuerpodeltexto12Sincursiva">
    <w:name w:val="Cuerpo del texto (12) + Sin cursiva"/>
    <w:basedOn w:val="Cuerpodeltexto12"/>
    <w:rsid w:val="000A1E52"/>
    <w:rPr>
      <w:rFonts w:ascii="Arial" w:eastAsia="Arial" w:hAnsi="Arial" w:cs="Arial"/>
      <w:b w:val="0"/>
      <w:bCs w:val="0"/>
      <w:i/>
      <w:iCs/>
      <w:smallCaps w:val="0"/>
      <w:strike w:val="0"/>
      <w:color w:val="000000"/>
      <w:spacing w:val="0"/>
      <w:w w:val="100"/>
      <w:position w:val="0"/>
      <w:sz w:val="16"/>
      <w:szCs w:val="16"/>
      <w:u w:val="none"/>
      <w:lang w:val="es-ES" w:eastAsia="es-ES" w:bidi="es-ES"/>
    </w:rPr>
  </w:style>
  <w:style w:type="paragraph" w:customStyle="1" w:styleId="Notaalpie0">
    <w:name w:val="Nota al pie"/>
    <w:basedOn w:val="Normal"/>
    <w:link w:val="Notaalpie"/>
    <w:rsid w:val="000A1E52"/>
    <w:pPr>
      <w:widowControl w:val="0"/>
      <w:shd w:val="clear" w:color="auto" w:fill="FFFFFF"/>
      <w:spacing w:line="264" w:lineRule="exact"/>
      <w:ind w:hanging="360"/>
      <w:jc w:val="both"/>
    </w:pPr>
    <w:rPr>
      <w:rFonts w:ascii="Arial" w:eastAsia="Arial" w:hAnsi="Arial" w:cs="Arial"/>
      <w:sz w:val="16"/>
      <w:szCs w:val="16"/>
      <w:lang w:val="es-EC" w:eastAsia="en-US"/>
    </w:rPr>
  </w:style>
  <w:style w:type="character" w:customStyle="1" w:styleId="Cuerpodeltexto10">
    <w:name w:val="Cuerpo del texto (10)_"/>
    <w:basedOn w:val="Fuentedeprrafopredeter"/>
    <w:link w:val="Cuerpodeltexto100"/>
    <w:rsid w:val="00361FD9"/>
    <w:rPr>
      <w:rFonts w:ascii="Arial" w:eastAsia="Arial" w:hAnsi="Arial" w:cs="Arial"/>
      <w:b/>
      <w:bCs/>
      <w:sz w:val="14"/>
      <w:szCs w:val="14"/>
      <w:shd w:val="clear" w:color="auto" w:fill="FFFFFF"/>
    </w:rPr>
  </w:style>
  <w:style w:type="paragraph" w:customStyle="1" w:styleId="Cuerpodeltexto100">
    <w:name w:val="Cuerpo del texto (10)"/>
    <w:basedOn w:val="Normal"/>
    <w:link w:val="Cuerpodeltexto10"/>
    <w:rsid w:val="00361FD9"/>
    <w:pPr>
      <w:widowControl w:val="0"/>
      <w:shd w:val="clear" w:color="auto" w:fill="FFFFFF"/>
      <w:spacing w:line="0" w:lineRule="atLeast"/>
      <w:jc w:val="both"/>
    </w:pPr>
    <w:rPr>
      <w:rFonts w:ascii="Arial" w:eastAsia="Arial" w:hAnsi="Arial" w:cs="Arial"/>
      <w:b/>
      <w:bCs/>
      <w:sz w:val="14"/>
      <w:szCs w:val="14"/>
      <w:lang w:val="es-EC" w:eastAsia="en-US"/>
    </w:rPr>
  </w:style>
  <w:style w:type="character" w:customStyle="1" w:styleId="Cuerpodeltexto2Negrita">
    <w:name w:val="Cuerpo del texto (2) + Negrita"/>
    <w:basedOn w:val="Cuerpodeltexto2"/>
    <w:rsid w:val="005D1349"/>
    <w:rPr>
      <w:rFonts w:ascii="Arial" w:eastAsia="Arial" w:hAnsi="Arial" w:cs="Arial"/>
      <w:b/>
      <w:bCs/>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EncabezamientoopiedepginaArial">
    <w:name w:val="Encabezamiento o pie de página + Arial"/>
    <w:aliases w:val="7.5 pto"/>
    <w:basedOn w:val="Fuentedeprrafopredeter"/>
    <w:rsid w:val="0051018B"/>
    <w:rPr>
      <w:rFonts w:ascii="Arial" w:eastAsia="Arial" w:hAnsi="Arial" w:cs="Arial"/>
      <w:b/>
      <w:bCs/>
      <w:i w:val="0"/>
      <w:iCs w:val="0"/>
      <w:smallCaps w:val="0"/>
      <w:strike w:val="0"/>
      <w:color w:val="000000"/>
      <w:spacing w:val="0"/>
      <w:w w:val="100"/>
      <w:position w:val="0"/>
      <w:sz w:val="15"/>
      <w:szCs w:val="15"/>
      <w:u w:val="none"/>
      <w:lang w:val="es-ES" w:eastAsia="es-ES" w:bidi="es-ES"/>
    </w:rPr>
  </w:style>
  <w:style w:type="character" w:customStyle="1" w:styleId="Notaalpie2">
    <w:name w:val="Nota al pie (2)_"/>
    <w:basedOn w:val="Fuentedeprrafopredeter"/>
    <w:link w:val="Notaalpie20"/>
    <w:rsid w:val="00800F91"/>
    <w:rPr>
      <w:rFonts w:ascii="Arial" w:eastAsia="Arial" w:hAnsi="Arial" w:cs="Arial"/>
      <w:sz w:val="14"/>
      <w:szCs w:val="14"/>
      <w:shd w:val="clear" w:color="auto" w:fill="FFFFFF"/>
    </w:rPr>
  </w:style>
  <w:style w:type="paragraph" w:customStyle="1" w:styleId="Notaalpie20">
    <w:name w:val="Nota al pie (2)"/>
    <w:basedOn w:val="Normal"/>
    <w:link w:val="Notaalpie2"/>
    <w:rsid w:val="00800F91"/>
    <w:pPr>
      <w:widowControl w:val="0"/>
      <w:shd w:val="clear" w:color="auto" w:fill="FFFFFF"/>
      <w:spacing w:line="226" w:lineRule="exact"/>
      <w:ind w:hanging="380"/>
    </w:pPr>
    <w:rPr>
      <w:rFonts w:ascii="Arial" w:eastAsia="Arial" w:hAnsi="Arial" w:cs="Arial"/>
      <w:sz w:val="14"/>
      <w:szCs w:val="14"/>
      <w:lang w:val="es-EC" w:eastAsia="en-US"/>
    </w:rPr>
  </w:style>
  <w:style w:type="paragraph" w:customStyle="1" w:styleId="ColorfulList-Accent11">
    <w:name w:val="Colorful List - Accent 11"/>
    <w:basedOn w:val="Normal"/>
    <w:uiPriority w:val="34"/>
    <w:qFormat/>
    <w:rsid w:val="00036E91"/>
    <w:pPr>
      <w:widowControl w:val="0"/>
      <w:ind w:left="720"/>
      <w:contextualSpacing/>
    </w:pPr>
    <w:rPr>
      <w:rFonts w:ascii="ZapfHumnst BT" w:hAnsi="ZapfHumnst BT"/>
      <w:sz w:val="22"/>
      <w:szCs w:val="20"/>
      <w:lang w:val="en-CA" w:eastAsia="es-EC"/>
    </w:rPr>
  </w:style>
  <w:style w:type="paragraph" w:customStyle="1" w:styleId="gmail-cuerpodeltexto20">
    <w:name w:val="gmail-cuerpodeltexto20"/>
    <w:basedOn w:val="Normal"/>
    <w:rsid w:val="00E409BC"/>
    <w:pPr>
      <w:spacing w:before="100" w:beforeAutospacing="1" w:after="100" w:afterAutospacing="1"/>
    </w:pPr>
    <w:rPr>
      <w:lang w:val="es-EC" w:eastAsia="es-EC"/>
    </w:rPr>
  </w:style>
  <w:style w:type="paragraph" w:customStyle="1" w:styleId="Prrafo192p10">
    <w:name w:val="Párrafo 1.92 p/10"/>
    <w:uiPriority w:val="99"/>
    <w:qFormat/>
    <w:rsid w:val="00D46A98"/>
    <w:pPr>
      <w:spacing w:line="240" w:lineRule="auto"/>
      <w:ind w:left="1089"/>
      <w:jc w:val="both"/>
    </w:pPr>
    <w:rPr>
      <w:rFonts w:ascii="Times New Roman" w:eastAsia="Times New Roman" w:hAnsi="Times New Roman" w:cs="Times New Roman"/>
      <w:lang w:val="es-MX"/>
    </w:rPr>
  </w:style>
  <w:style w:type="paragraph" w:customStyle="1" w:styleId="s6">
    <w:name w:val="s6"/>
    <w:basedOn w:val="Normal"/>
    <w:rsid w:val="00311476"/>
    <w:pPr>
      <w:spacing w:before="100" w:beforeAutospacing="1" w:after="100" w:afterAutospacing="1"/>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93912">
      <w:bodyDiv w:val="1"/>
      <w:marLeft w:val="0"/>
      <w:marRight w:val="0"/>
      <w:marTop w:val="0"/>
      <w:marBottom w:val="0"/>
      <w:divBdr>
        <w:top w:val="none" w:sz="0" w:space="0" w:color="auto"/>
        <w:left w:val="none" w:sz="0" w:space="0" w:color="auto"/>
        <w:bottom w:val="none" w:sz="0" w:space="0" w:color="auto"/>
        <w:right w:val="none" w:sz="0" w:space="0" w:color="auto"/>
      </w:divBdr>
    </w:div>
    <w:div w:id="199128658">
      <w:bodyDiv w:val="1"/>
      <w:marLeft w:val="0"/>
      <w:marRight w:val="0"/>
      <w:marTop w:val="0"/>
      <w:marBottom w:val="0"/>
      <w:divBdr>
        <w:top w:val="none" w:sz="0" w:space="0" w:color="auto"/>
        <w:left w:val="none" w:sz="0" w:space="0" w:color="auto"/>
        <w:bottom w:val="none" w:sz="0" w:space="0" w:color="auto"/>
        <w:right w:val="none" w:sz="0" w:space="0" w:color="auto"/>
      </w:divBdr>
    </w:div>
    <w:div w:id="225265385">
      <w:bodyDiv w:val="1"/>
      <w:marLeft w:val="0"/>
      <w:marRight w:val="0"/>
      <w:marTop w:val="0"/>
      <w:marBottom w:val="0"/>
      <w:divBdr>
        <w:top w:val="none" w:sz="0" w:space="0" w:color="auto"/>
        <w:left w:val="none" w:sz="0" w:space="0" w:color="auto"/>
        <w:bottom w:val="none" w:sz="0" w:space="0" w:color="auto"/>
        <w:right w:val="none" w:sz="0" w:space="0" w:color="auto"/>
      </w:divBdr>
    </w:div>
    <w:div w:id="278949500">
      <w:bodyDiv w:val="1"/>
      <w:marLeft w:val="0"/>
      <w:marRight w:val="0"/>
      <w:marTop w:val="0"/>
      <w:marBottom w:val="0"/>
      <w:divBdr>
        <w:top w:val="none" w:sz="0" w:space="0" w:color="auto"/>
        <w:left w:val="none" w:sz="0" w:space="0" w:color="auto"/>
        <w:bottom w:val="none" w:sz="0" w:space="0" w:color="auto"/>
        <w:right w:val="none" w:sz="0" w:space="0" w:color="auto"/>
      </w:divBdr>
    </w:div>
    <w:div w:id="286592298">
      <w:bodyDiv w:val="1"/>
      <w:marLeft w:val="0"/>
      <w:marRight w:val="0"/>
      <w:marTop w:val="0"/>
      <w:marBottom w:val="0"/>
      <w:divBdr>
        <w:top w:val="none" w:sz="0" w:space="0" w:color="auto"/>
        <w:left w:val="none" w:sz="0" w:space="0" w:color="auto"/>
        <w:bottom w:val="none" w:sz="0" w:space="0" w:color="auto"/>
        <w:right w:val="none" w:sz="0" w:space="0" w:color="auto"/>
      </w:divBdr>
    </w:div>
    <w:div w:id="321590929">
      <w:bodyDiv w:val="1"/>
      <w:marLeft w:val="0"/>
      <w:marRight w:val="0"/>
      <w:marTop w:val="0"/>
      <w:marBottom w:val="0"/>
      <w:divBdr>
        <w:top w:val="none" w:sz="0" w:space="0" w:color="auto"/>
        <w:left w:val="none" w:sz="0" w:space="0" w:color="auto"/>
        <w:bottom w:val="none" w:sz="0" w:space="0" w:color="auto"/>
        <w:right w:val="none" w:sz="0" w:space="0" w:color="auto"/>
      </w:divBdr>
    </w:div>
    <w:div w:id="390547225">
      <w:bodyDiv w:val="1"/>
      <w:marLeft w:val="0"/>
      <w:marRight w:val="0"/>
      <w:marTop w:val="0"/>
      <w:marBottom w:val="0"/>
      <w:divBdr>
        <w:top w:val="none" w:sz="0" w:space="0" w:color="auto"/>
        <w:left w:val="none" w:sz="0" w:space="0" w:color="auto"/>
        <w:bottom w:val="none" w:sz="0" w:space="0" w:color="auto"/>
        <w:right w:val="none" w:sz="0" w:space="0" w:color="auto"/>
      </w:divBdr>
    </w:div>
    <w:div w:id="419985848">
      <w:bodyDiv w:val="1"/>
      <w:marLeft w:val="0"/>
      <w:marRight w:val="0"/>
      <w:marTop w:val="0"/>
      <w:marBottom w:val="0"/>
      <w:divBdr>
        <w:top w:val="none" w:sz="0" w:space="0" w:color="auto"/>
        <w:left w:val="none" w:sz="0" w:space="0" w:color="auto"/>
        <w:bottom w:val="none" w:sz="0" w:space="0" w:color="auto"/>
        <w:right w:val="none" w:sz="0" w:space="0" w:color="auto"/>
      </w:divBdr>
    </w:div>
    <w:div w:id="432433739">
      <w:bodyDiv w:val="1"/>
      <w:marLeft w:val="0"/>
      <w:marRight w:val="0"/>
      <w:marTop w:val="0"/>
      <w:marBottom w:val="0"/>
      <w:divBdr>
        <w:top w:val="none" w:sz="0" w:space="0" w:color="auto"/>
        <w:left w:val="none" w:sz="0" w:space="0" w:color="auto"/>
        <w:bottom w:val="none" w:sz="0" w:space="0" w:color="auto"/>
        <w:right w:val="none" w:sz="0" w:space="0" w:color="auto"/>
      </w:divBdr>
    </w:div>
    <w:div w:id="522523178">
      <w:bodyDiv w:val="1"/>
      <w:marLeft w:val="0"/>
      <w:marRight w:val="0"/>
      <w:marTop w:val="0"/>
      <w:marBottom w:val="0"/>
      <w:divBdr>
        <w:top w:val="none" w:sz="0" w:space="0" w:color="auto"/>
        <w:left w:val="none" w:sz="0" w:space="0" w:color="auto"/>
        <w:bottom w:val="none" w:sz="0" w:space="0" w:color="auto"/>
        <w:right w:val="none" w:sz="0" w:space="0" w:color="auto"/>
      </w:divBdr>
    </w:div>
    <w:div w:id="585892157">
      <w:bodyDiv w:val="1"/>
      <w:marLeft w:val="0"/>
      <w:marRight w:val="0"/>
      <w:marTop w:val="0"/>
      <w:marBottom w:val="0"/>
      <w:divBdr>
        <w:top w:val="none" w:sz="0" w:space="0" w:color="auto"/>
        <w:left w:val="none" w:sz="0" w:space="0" w:color="auto"/>
        <w:bottom w:val="none" w:sz="0" w:space="0" w:color="auto"/>
        <w:right w:val="none" w:sz="0" w:space="0" w:color="auto"/>
      </w:divBdr>
    </w:div>
    <w:div w:id="613709203">
      <w:bodyDiv w:val="1"/>
      <w:marLeft w:val="0"/>
      <w:marRight w:val="0"/>
      <w:marTop w:val="0"/>
      <w:marBottom w:val="0"/>
      <w:divBdr>
        <w:top w:val="none" w:sz="0" w:space="0" w:color="auto"/>
        <w:left w:val="none" w:sz="0" w:space="0" w:color="auto"/>
        <w:bottom w:val="none" w:sz="0" w:space="0" w:color="auto"/>
        <w:right w:val="none" w:sz="0" w:space="0" w:color="auto"/>
      </w:divBdr>
    </w:div>
    <w:div w:id="704403254">
      <w:bodyDiv w:val="1"/>
      <w:marLeft w:val="0"/>
      <w:marRight w:val="0"/>
      <w:marTop w:val="0"/>
      <w:marBottom w:val="0"/>
      <w:divBdr>
        <w:top w:val="none" w:sz="0" w:space="0" w:color="auto"/>
        <w:left w:val="none" w:sz="0" w:space="0" w:color="auto"/>
        <w:bottom w:val="none" w:sz="0" w:space="0" w:color="auto"/>
        <w:right w:val="none" w:sz="0" w:space="0" w:color="auto"/>
      </w:divBdr>
    </w:div>
    <w:div w:id="735511922">
      <w:bodyDiv w:val="1"/>
      <w:marLeft w:val="0"/>
      <w:marRight w:val="0"/>
      <w:marTop w:val="0"/>
      <w:marBottom w:val="0"/>
      <w:divBdr>
        <w:top w:val="none" w:sz="0" w:space="0" w:color="auto"/>
        <w:left w:val="none" w:sz="0" w:space="0" w:color="auto"/>
        <w:bottom w:val="none" w:sz="0" w:space="0" w:color="auto"/>
        <w:right w:val="none" w:sz="0" w:space="0" w:color="auto"/>
      </w:divBdr>
    </w:div>
    <w:div w:id="768424650">
      <w:bodyDiv w:val="1"/>
      <w:marLeft w:val="0"/>
      <w:marRight w:val="0"/>
      <w:marTop w:val="0"/>
      <w:marBottom w:val="0"/>
      <w:divBdr>
        <w:top w:val="none" w:sz="0" w:space="0" w:color="auto"/>
        <w:left w:val="none" w:sz="0" w:space="0" w:color="auto"/>
        <w:bottom w:val="none" w:sz="0" w:space="0" w:color="auto"/>
        <w:right w:val="none" w:sz="0" w:space="0" w:color="auto"/>
      </w:divBdr>
    </w:div>
    <w:div w:id="950169376">
      <w:bodyDiv w:val="1"/>
      <w:marLeft w:val="0"/>
      <w:marRight w:val="0"/>
      <w:marTop w:val="0"/>
      <w:marBottom w:val="0"/>
      <w:divBdr>
        <w:top w:val="none" w:sz="0" w:space="0" w:color="auto"/>
        <w:left w:val="none" w:sz="0" w:space="0" w:color="auto"/>
        <w:bottom w:val="none" w:sz="0" w:space="0" w:color="auto"/>
        <w:right w:val="none" w:sz="0" w:space="0" w:color="auto"/>
      </w:divBdr>
    </w:div>
    <w:div w:id="1208571221">
      <w:bodyDiv w:val="1"/>
      <w:marLeft w:val="0"/>
      <w:marRight w:val="0"/>
      <w:marTop w:val="0"/>
      <w:marBottom w:val="0"/>
      <w:divBdr>
        <w:top w:val="none" w:sz="0" w:space="0" w:color="auto"/>
        <w:left w:val="none" w:sz="0" w:space="0" w:color="auto"/>
        <w:bottom w:val="none" w:sz="0" w:space="0" w:color="auto"/>
        <w:right w:val="none" w:sz="0" w:space="0" w:color="auto"/>
      </w:divBdr>
    </w:div>
    <w:div w:id="1354771794">
      <w:bodyDiv w:val="1"/>
      <w:marLeft w:val="0"/>
      <w:marRight w:val="0"/>
      <w:marTop w:val="0"/>
      <w:marBottom w:val="0"/>
      <w:divBdr>
        <w:top w:val="none" w:sz="0" w:space="0" w:color="auto"/>
        <w:left w:val="none" w:sz="0" w:space="0" w:color="auto"/>
        <w:bottom w:val="none" w:sz="0" w:space="0" w:color="auto"/>
        <w:right w:val="none" w:sz="0" w:space="0" w:color="auto"/>
      </w:divBdr>
    </w:div>
    <w:div w:id="1419523754">
      <w:bodyDiv w:val="1"/>
      <w:marLeft w:val="0"/>
      <w:marRight w:val="0"/>
      <w:marTop w:val="0"/>
      <w:marBottom w:val="0"/>
      <w:divBdr>
        <w:top w:val="none" w:sz="0" w:space="0" w:color="auto"/>
        <w:left w:val="none" w:sz="0" w:space="0" w:color="auto"/>
        <w:bottom w:val="none" w:sz="0" w:space="0" w:color="auto"/>
        <w:right w:val="none" w:sz="0" w:space="0" w:color="auto"/>
      </w:divBdr>
    </w:div>
    <w:div w:id="1464008830">
      <w:bodyDiv w:val="1"/>
      <w:marLeft w:val="0"/>
      <w:marRight w:val="0"/>
      <w:marTop w:val="0"/>
      <w:marBottom w:val="0"/>
      <w:divBdr>
        <w:top w:val="none" w:sz="0" w:space="0" w:color="auto"/>
        <w:left w:val="none" w:sz="0" w:space="0" w:color="auto"/>
        <w:bottom w:val="none" w:sz="0" w:space="0" w:color="auto"/>
        <w:right w:val="none" w:sz="0" w:space="0" w:color="auto"/>
      </w:divBdr>
    </w:div>
    <w:div w:id="1539707116">
      <w:bodyDiv w:val="1"/>
      <w:marLeft w:val="0"/>
      <w:marRight w:val="0"/>
      <w:marTop w:val="0"/>
      <w:marBottom w:val="0"/>
      <w:divBdr>
        <w:top w:val="none" w:sz="0" w:space="0" w:color="auto"/>
        <w:left w:val="none" w:sz="0" w:space="0" w:color="auto"/>
        <w:bottom w:val="none" w:sz="0" w:space="0" w:color="auto"/>
        <w:right w:val="none" w:sz="0" w:space="0" w:color="auto"/>
      </w:divBdr>
    </w:div>
    <w:div w:id="1675911726">
      <w:bodyDiv w:val="1"/>
      <w:marLeft w:val="0"/>
      <w:marRight w:val="0"/>
      <w:marTop w:val="0"/>
      <w:marBottom w:val="0"/>
      <w:divBdr>
        <w:top w:val="none" w:sz="0" w:space="0" w:color="auto"/>
        <w:left w:val="none" w:sz="0" w:space="0" w:color="auto"/>
        <w:bottom w:val="none" w:sz="0" w:space="0" w:color="auto"/>
        <w:right w:val="none" w:sz="0" w:space="0" w:color="auto"/>
      </w:divBdr>
    </w:div>
    <w:div w:id="1718774151">
      <w:bodyDiv w:val="1"/>
      <w:marLeft w:val="0"/>
      <w:marRight w:val="0"/>
      <w:marTop w:val="0"/>
      <w:marBottom w:val="0"/>
      <w:divBdr>
        <w:top w:val="none" w:sz="0" w:space="0" w:color="auto"/>
        <w:left w:val="none" w:sz="0" w:space="0" w:color="auto"/>
        <w:bottom w:val="none" w:sz="0" w:space="0" w:color="auto"/>
        <w:right w:val="none" w:sz="0" w:space="0" w:color="auto"/>
      </w:divBdr>
    </w:div>
    <w:div w:id="1755200646">
      <w:bodyDiv w:val="1"/>
      <w:marLeft w:val="0"/>
      <w:marRight w:val="0"/>
      <w:marTop w:val="0"/>
      <w:marBottom w:val="0"/>
      <w:divBdr>
        <w:top w:val="none" w:sz="0" w:space="0" w:color="auto"/>
        <w:left w:val="none" w:sz="0" w:space="0" w:color="auto"/>
        <w:bottom w:val="none" w:sz="0" w:space="0" w:color="auto"/>
        <w:right w:val="none" w:sz="0" w:space="0" w:color="auto"/>
      </w:divBdr>
    </w:div>
    <w:div w:id="1809738636">
      <w:bodyDiv w:val="1"/>
      <w:marLeft w:val="0"/>
      <w:marRight w:val="0"/>
      <w:marTop w:val="0"/>
      <w:marBottom w:val="0"/>
      <w:divBdr>
        <w:top w:val="none" w:sz="0" w:space="0" w:color="auto"/>
        <w:left w:val="none" w:sz="0" w:space="0" w:color="auto"/>
        <w:bottom w:val="none" w:sz="0" w:space="0" w:color="auto"/>
        <w:right w:val="none" w:sz="0" w:space="0" w:color="auto"/>
      </w:divBdr>
    </w:div>
    <w:div w:id="2121753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2.xls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Excel_Worksheet15.xlsx"/><Relationship Id="rId21" Type="http://schemas.openxmlformats.org/officeDocument/2006/relationships/package" Target="embeddings/Microsoft_Excel_Worksheet6.xls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Microsoft_Excel_Worksheet10.xlsx"/><Relationship Id="rId11" Type="http://schemas.openxmlformats.org/officeDocument/2006/relationships/package" Target="embeddings/Microsoft_Excel_Worksheet1.xls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Excel_Worksheet14.xlsx"/><Relationship Id="rId40" Type="http://schemas.openxmlformats.org/officeDocument/2006/relationships/image" Target="media/image17.emf"/><Relationship Id="rId45" Type="http://schemas.openxmlformats.org/officeDocument/2006/relationships/package" Target="embeddings/Microsoft_Excel_Worksheet18.xlsx"/><Relationship Id="rId5" Type="http://schemas.openxmlformats.org/officeDocument/2006/relationships/webSettings" Target="webSettings.xml"/><Relationship Id="rId15" Type="http://schemas.openxmlformats.org/officeDocument/2006/relationships/package" Target="embeddings/Microsoft_Excel_Worksheet3.xlsx"/><Relationship Id="rId23" Type="http://schemas.openxmlformats.org/officeDocument/2006/relationships/package" Target="embeddings/Microsoft_Excel_Worksheet7.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package" Target="embeddings/Microsoft_Excel_Worksheet5.xlsx"/><Relationship Id="rId31" Type="http://schemas.openxmlformats.org/officeDocument/2006/relationships/package" Target="embeddings/Microsoft_Excel_Worksheet11.xlsx"/><Relationship Id="rId44"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9.xlsx"/><Relationship Id="rId30" Type="http://schemas.openxmlformats.org/officeDocument/2006/relationships/image" Target="media/image12.emf"/><Relationship Id="rId35" Type="http://schemas.openxmlformats.org/officeDocument/2006/relationships/package" Target="embeddings/Microsoft_Excel_Worksheet13.xlsx"/><Relationship Id="rId43" Type="http://schemas.openxmlformats.org/officeDocument/2006/relationships/package" Target="embeddings/Microsoft_Excel_Worksheet17.xlsx"/><Relationship Id="rId48"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Excel_Worksheet4.xlsx"/><Relationship Id="rId25" Type="http://schemas.openxmlformats.org/officeDocument/2006/relationships/package" Target="embeddings/Microsoft_Excel_Worksheet8.xlsx"/><Relationship Id="rId33" Type="http://schemas.openxmlformats.org/officeDocument/2006/relationships/package" Target="embeddings/Microsoft_Excel_Worksheet12.xlsx"/><Relationship Id="rId38" Type="http://schemas.openxmlformats.org/officeDocument/2006/relationships/image" Target="media/image16.emf"/><Relationship Id="rId46" Type="http://schemas.openxmlformats.org/officeDocument/2006/relationships/header" Target="header1.xml"/><Relationship Id="rId20" Type="http://schemas.openxmlformats.org/officeDocument/2006/relationships/image" Target="media/image7.emf"/><Relationship Id="rId41" Type="http://schemas.openxmlformats.org/officeDocument/2006/relationships/package" Target="embeddings/Microsoft_Excel_Worksheet16.xlsx"/><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D827F3-6A13-43CD-982F-97B619781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11272</Words>
  <Characters>61997</Characters>
  <Application>Microsoft Office Word</Application>
  <DocSecurity>0</DocSecurity>
  <Lines>516</Lines>
  <Paragraphs>146</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73123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2024-04-22T15:07:00Z</dcterms:created>
  <dcterms:modified xsi:type="dcterms:W3CDTF">2025-04-25T15:53:00Z</dcterms:modified>
</cp:coreProperties>
</file>